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3"/>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蛟河市重点流域水生态环境保护规划</w:t>
      </w:r>
    </w:p>
    <w:p>
      <w:pPr>
        <w:pStyle w:val="2"/>
        <w:jc w:val="center"/>
        <w:rPr>
          <w:rFonts w:hint="eastAsia"/>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2021-2025年</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pStyle w:val="2"/>
        <w:rPr>
          <w:rFonts w:hint="eastAsia" w:ascii="方正小标宋简体" w:hAnsi="方正小标宋简体" w:eastAsia="方正小标宋简体" w:cs="方正小标宋简体"/>
          <w:sz w:val="44"/>
          <w:szCs w:val="44"/>
          <w:lang w:eastAsia="zh-CN"/>
        </w:rPr>
      </w:pPr>
    </w:p>
    <w:p>
      <w:pPr>
        <w:pStyle w:val="3"/>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3"/>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p>
    <w:p>
      <w:pPr>
        <w:pStyle w:val="21"/>
        <w:ind w:firstLine="0" w:firstLineChars="0"/>
        <w:jc w:val="center"/>
        <w:rPr>
          <w:rFonts w:hint="eastAsia" w:ascii="宋体" w:hAnsi="宋体" w:eastAsia="宋体" w:cs="宋体"/>
          <w:b/>
          <w:bCs/>
          <w:lang w:eastAsia="zh-CN"/>
        </w:rPr>
      </w:pPr>
      <w:r>
        <w:rPr>
          <w:rFonts w:hint="eastAsia" w:ascii="宋体" w:hAnsi="宋体" w:eastAsia="宋体" w:cs="宋体"/>
          <w:b/>
          <w:bCs/>
        </w:rPr>
        <w:t>吉林市生态环境局</w:t>
      </w:r>
      <w:r>
        <w:rPr>
          <w:rFonts w:hint="eastAsia" w:ascii="宋体" w:hAnsi="宋体" w:eastAsia="宋体" w:cs="宋体"/>
          <w:b/>
          <w:bCs/>
          <w:lang w:eastAsia="zh-CN"/>
        </w:rPr>
        <w:t>蛟河分局</w:t>
      </w:r>
    </w:p>
    <w:p>
      <w:pPr>
        <w:pStyle w:val="21"/>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2021年11月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b/>
          <w:bCs/>
          <w:sz w:val="32"/>
          <w:szCs w:val="32"/>
          <w:lang w:eastAsia="zh-CN"/>
        </w:rPr>
        <w:sectPr>
          <w:pgSz w:w="11906" w:h="16838"/>
          <w:pgMar w:top="1440" w:right="1800" w:bottom="1440" w:left="1800" w:header="851" w:footer="992" w:gutter="0"/>
          <w:cols w:space="425" w:num="1"/>
          <w:docGrid w:type="lines" w:linePitch="312" w:charSpace="0"/>
        </w:sectPr>
      </w:pPr>
    </w:p>
    <w:p>
      <w:pPr>
        <w:pStyle w:val="2"/>
        <w:rPr>
          <w:rFonts w:hint="eastAsia"/>
          <w:lang w:eastAsia="zh-CN"/>
        </w:rPr>
      </w:pPr>
    </w:p>
    <w:sdt>
      <w:sdtPr>
        <w:rPr>
          <w:rFonts w:ascii="宋体" w:hAnsi="宋体" w:eastAsia="宋体" w:cstheme="minorBidi"/>
          <w:kern w:val="2"/>
          <w:sz w:val="21"/>
          <w:szCs w:val="24"/>
          <w:lang w:val="en-US" w:eastAsia="zh-CN" w:bidi="ar-SA"/>
        </w:rPr>
        <w:id w:val="147467521"/>
        <w15:color w:val="DBDBDB"/>
      </w:sdtPr>
      <w:sdtEndPr>
        <w:rPr>
          <w:rFonts w:hint="eastAsia" w:ascii="仿宋_GB2312" w:hAnsi="仿宋_GB2312" w:eastAsia="仿宋_GB2312" w:cs="仿宋_GB2312"/>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0"/>
            <w:tabs>
              <w:tab w:val="right" w:leader="dot" w:pos="8306"/>
            </w:tabs>
          </w:pPr>
          <w:r>
            <w:fldChar w:fldCharType="begin"/>
          </w:r>
          <w:r>
            <w:instrText xml:space="preserve">TOC \o "1-3" \h \u </w:instrText>
          </w:r>
          <w:r>
            <w:fldChar w:fldCharType="separate"/>
          </w:r>
          <w:r>
            <w:fldChar w:fldCharType="begin"/>
          </w:r>
          <w:r>
            <w:instrText xml:space="preserve"> HYPERLINK \l _Toc5707 </w:instrText>
          </w:r>
          <w:r>
            <w:fldChar w:fldCharType="separate"/>
          </w:r>
          <w:r>
            <w:rPr>
              <w:rFonts w:hint="eastAsia" w:ascii="黑体" w:hAnsi="黑体" w:eastAsia="黑体" w:cs="Times New Roman"/>
              <w:szCs w:val="44"/>
            </w:rPr>
            <w:t>第一章</w:t>
          </w:r>
          <w:r>
            <w:rPr>
              <w:rFonts w:hint="eastAsia" w:ascii="黑体" w:hAnsi="黑体" w:eastAsia="黑体" w:cs="Times New Roman"/>
              <w:szCs w:val="44"/>
              <w:lang w:val="en-US" w:eastAsia="zh-CN"/>
            </w:rPr>
            <w:t xml:space="preserve"> </w:t>
          </w:r>
          <w:r>
            <w:rPr>
              <w:rFonts w:hint="eastAsia" w:ascii="黑体" w:hAnsi="黑体" w:eastAsia="黑体" w:cs="Times New Roman"/>
              <w:szCs w:val="44"/>
              <w:lang w:eastAsia="zh-CN"/>
            </w:rPr>
            <w:t>规划背景</w:t>
          </w:r>
          <w:r>
            <w:tab/>
          </w:r>
          <w:r>
            <w:fldChar w:fldCharType="begin"/>
          </w:r>
          <w:r>
            <w:instrText xml:space="preserve"> PAGEREF _Toc5707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_Toc22362 </w:instrText>
          </w:r>
          <w:r>
            <w:fldChar w:fldCharType="separate"/>
          </w:r>
          <w:r>
            <w:rPr>
              <w:rFonts w:hint="eastAsia" w:ascii="黑体" w:hAnsi="黑体" w:eastAsia="黑体" w:cs="黑体"/>
              <w:szCs w:val="28"/>
              <w:shd w:val="clear" w:color="auto" w:fill="FFFFFF"/>
              <w:lang w:val="en-US" w:eastAsia="zh-CN"/>
            </w:rPr>
            <w:t>一、“十三五”水生态环境保护主要成效</w:t>
          </w:r>
          <w:r>
            <w:tab/>
          </w:r>
          <w:r>
            <w:fldChar w:fldCharType="begin"/>
          </w:r>
          <w:r>
            <w:instrText xml:space="preserve"> PAGEREF _Toc22362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_Toc13478 </w:instrText>
          </w:r>
          <w:r>
            <w:fldChar w:fldCharType="separate"/>
          </w:r>
          <w:r>
            <w:rPr>
              <w:rFonts w:hint="eastAsia" w:ascii="黑体" w:hAnsi="黑体" w:eastAsia="黑体" w:cs="黑体"/>
              <w:szCs w:val="28"/>
              <w:shd w:val="clear" w:color="auto" w:fill="FFFFFF"/>
              <w:lang w:val="en-US" w:eastAsia="zh-CN"/>
            </w:rPr>
            <w:t>二、“十四五”水生态环境保护面临的机遇挑战</w:t>
          </w:r>
          <w:r>
            <w:tab/>
          </w:r>
          <w:r>
            <w:fldChar w:fldCharType="begin"/>
          </w:r>
          <w:r>
            <w:instrText xml:space="preserve"> PAGEREF _Toc13478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_Toc31754 </w:instrText>
          </w:r>
          <w:r>
            <w:fldChar w:fldCharType="separate"/>
          </w:r>
          <w:r>
            <w:rPr>
              <w:rFonts w:hint="eastAsia" w:ascii="黑体" w:hAnsi="黑体" w:eastAsia="黑体" w:cs="Times New Roman"/>
              <w:szCs w:val="44"/>
              <w:lang w:val="en-US" w:eastAsia="zh-CN"/>
            </w:rPr>
            <w:t>第二章 总体要求</w:t>
          </w:r>
          <w:r>
            <w:tab/>
          </w:r>
          <w:r>
            <w:fldChar w:fldCharType="begin"/>
          </w:r>
          <w:r>
            <w:instrText xml:space="preserve"> PAGEREF _Toc31754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_Toc1528 </w:instrText>
          </w:r>
          <w:r>
            <w:fldChar w:fldCharType="separate"/>
          </w:r>
          <w:r>
            <w:rPr>
              <w:rFonts w:hint="eastAsia" w:ascii="黑体" w:hAnsi="黑体" w:eastAsia="黑体" w:cs="黑体"/>
              <w:szCs w:val="28"/>
              <w:shd w:val="clear" w:color="auto" w:fill="FFFFFF"/>
              <w:lang w:val="en-US" w:eastAsia="zh-CN"/>
            </w:rPr>
            <w:t>一、指导思想</w:t>
          </w:r>
          <w:r>
            <w:tab/>
          </w:r>
          <w:r>
            <w:fldChar w:fldCharType="begin"/>
          </w:r>
          <w:r>
            <w:instrText xml:space="preserve"> PAGEREF _Toc1528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_Toc3597 </w:instrText>
          </w:r>
          <w:r>
            <w:fldChar w:fldCharType="separate"/>
          </w:r>
          <w:r>
            <w:rPr>
              <w:rFonts w:hint="eastAsia" w:ascii="黑体" w:hAnsi="黑体" w:eastAsia="黑体" w:cs="黑体"/>
              <w:szCs w:val="28"/>
              <w:shd w:val="clear" w:color="auto" w:fill="FFFFFF"/>
              <w:lang w:val="en-US" w:eastAsia="zh-CN"/>
            </w:rPr>
            <w:t>二、基本原则</w:t>
          </w:r>
          <w:r>
            <w:tab/>
          </w:r>
          <w:r>
            <w:fldChar w:fldCharType="begin"/>
          </w:r>
          <w:r>
            <w:instrText xml:space="preserve"> PAGEREF _Toc3597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_Toc29096 </w:instrText>
          </w:r>
          <w:r>
            <w:fldChar w:fldCharType="separate"/>
          </w:r>
          <w:r>
            <w:rPr>
              <w:rFonts w:hint="eastAsia" w:ascii="黑体" w:hAnsi="黑体" w:eastAsia="黑体" w:cs="黑体"/>
              <w:szCs w:val="28"/>
              <w:shd w:val="clear" w:color="auto" w:fill="FFFFFF"/>
              <w:lang w:val="en-US" w:eastAsia="zh-CN"/>
            </w:rPr>
            <w:t>三、主要目标</w:t>
          </w:r>
          <w:r>
            <w:tab/>
          </w:r>
          <w:r>
            <w:fldChar w:fldCharType="begin"/>
          </w:r>
          <w:r>
            <w:instrText xml:space="preserve"> PAGEREF _Toc29096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_Toc19192 </w:instrText>
          </w:r>
          <w:r>
            <w:fldChar w:fldCharType="separate"/>
          </w:r>
          <w:r>
            <w:rPr>
              <w:rFonts w:hint="eastAsia" w:ascii="黑体" w:hAnsi="黑体" w:eastAsia="黑体" w:cs="Times New Roman"/>
              <w:szCs w:val="44"/>
              <w:lang w:val="en-US" w:eastAsia="zh-CN"/>
            </w:rPr>
            <w:t>第三章 重点任务</w:t>
          </w:r>
          <w:r>
            <w:tab/>
          </w:r>
          <w:r>
            <w:fldChar w:fldCharType="begin"/>
          </w:r>
          <w:r>
            <w:instrText xml:space="preserve"> PAGEREF _Toc19192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_Toc2964 </w:instrText>
          </w:r>
          <w:r>
            <w:fldChar w:fldCharType="separate"/>
          </w:r>
          <w:r>
            <w:rPr>
              <w:rFonts w:hint="eastAsia" w:ascii="黑体" w:hAnsi="黑体" w:eastAsia="黑体" w:cs="黑体"/>
              <w:szCs w:val="28"/>
              <w:shd w:val="clear" w:color="auto" w:fill="FFFFFF"/>
              <w:lang w:val="en-US" w:eastAsia="zh-CN"/>
            </w:rPr>
            <w:t>一、饮用水水源地保护任务</w:t>
          </w:r>
          <w:r>
            <w:tab/>
          </w:r>
          <w:r>
            <w:fldChar w:fldCharType="begin"/>
          </w:r>
          <w:r>
            <w:instrText xml:space="preserve"> PAGEREF _Toc2964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_Toc6476 </w:instrText>
          </w:r>
          <w:r>
            <w:fldChar w:fldCharType="separate"/>
          </w:r>
          <w:r>
            <w:rPr>
              <w:rFonts w:hint="eastAsia" w:ascii="黑体" w:hAnsi="黑体" w:eastAsia="黑体" w:cs="黑体"/>
              <w:szCs w:val="28"/>
              <w:shd w:val="clear" w:color="auto" w:fill="FFFFFF"/>
              <w:lang w:val="en-US" w:eastAsia="zh-CN"/>
            </w:rPr>
            <w:t>二、污染减排任务</w:t>
          </w:r>
          <w:r>
            <w:tab/>
          </w:r>
          <w:r>
            <w:fldChar w:fldCharType="begin"/>
          </w:r>
          <w:r>
            <w:instrText xml:space="preserve"> PAGEREF _Toc6476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_Toc8684 </w:instrText>
          </w:r>
          <w:r>
            <w:fldChar w:fldCharType="separate"/>
          </w:r>
          <w:r>
            <w:rPr>
              <w:rFonts w:hint="eastAsia" w:ascii="黑体" w:hAnsi="黑体" w:eastAsia="黑体" w:cs="黑体"/>
              <w:szCs w:val="28"/>
              <w:shd w:val="clear" w:color="auto" w:fill="FFFFFF"/>
              <w:lang w:val="en-US" w:eastAsia="zh-CN"/>
            </w:rPr>
            <w:t>三、水生态保护修复任务</w:t>
          </w:r>
          <w:r>
            <w:tab/>
          </w:r>
          <w:r>
            <w:fldChar w:fldCharType="begin"/>
          </w:r>
          <w:r>
            <w:instrText xml:space="preserve"> PAGEREF _Toc8684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_Toc20837 </w:instrText>
          </w:r>
          <w:r>
            <w:fldChar w:fldCharType="separate"/>
          </w:r>
          <w:r>
            <w:rPr>
              <w:rFonts w:hint="eastAsia" w:ascii="黑体" w:hAnsi="黑体" w:eastAsia="黑体" w:cs="黑体"/>
              <w:szCs w:val="28"/>
              <w:shd w:val="clear" w:color="auto" w:fill="FFFFFF"/>
              <w:lang w:val="en-US" w:eastAsia="zh-CN"/>
            </w:rPr>
            <w:t>四、水环境风险防控任务</w:t>
          </w:r>
          <w:r>
            <w:tab/>
          </w:r>
          <w:r>
            <w:fldChar w:fldCharType="begin"/>
          </w:r>
          <w:r>
            <w:instrText xml:space="preserve"> PAGEREF _Toc20837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_Toc2784 </w:instrText>
          </w:r>
          <w:r>
            <w:fldChar w:fldCharType="separate"/>
          </w:r>
          <w:r>
            <w:rPr>
              <w:rFonts w:hint="eastAsia" w:ascii="黑体" w:hAnsi="黑体" w:eastAsia="黑体" w:cs="Times New Roman"/>
              <w:szCs w:val="44"/>
              <w:lang w:val="en-US" w:eastAsia="zh-CN"/>
            </w:rPr>
            <w:t xml:space="preserve">第四章  </w:t>
          </w:r>
          <w:r>
            <w:rPr>
              <w:rFonts w:hint="eastAsia" w:ascii="黑体" w:hAnsi="黑体" w:eastAsia="黑体" w:cs="Times New Roman"/>
              <w:szCs w:val="44"/>
              <w:lang w:eastAsia="zh-CN"/>
            </w:rPr>
            <w:t>重大工程</w:t>
          </w:r>
          <w:r>
            <w:tab/>
          </w:r>
          <w:r>
            <w:fldChar w:fldCharType="begin"/>
          </w:r>
          <w:r>
            <w:instrText xml:space="preserve"> PAGEREF _Toc2784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_Toc23273 </w:instrText>
          </w:r>
          <w:r>
            <w:fldChar w:fldCharType="separate"/>
          </w:r>
          <w:r>
            <w:rPr>
              <w:rFonts w:hint="eastAsia" w:ascii="黑体" w:hAnsi="黑体" w:eastAsia="黑体" w:cs="Times New Roman"/>
              <w:szCs w:val="44"/>
            </w:rPr>
            <w:t>第</w:t>
          </w:r>
          <w:r>
            <w:rPr>
              <w:rFonts w:hint="eastAsia" w:ascii="黑体" w:hAnsi="黑体" w:eastAsia="黑体" w:cs="Times New Roman"/>
              <w:szCs w:val="44"/>
              <w:lang w:eastAsia="zh-CN"/>
            </w:rPr>
            <w:t>五</w:t>
          </w:r>
          <w:r>
            <w:rPr>
              <w:rFonts w:hint="eastAsia" w:ascii="黑体" w:hAnsi="黑体" w:eastAsia="黑体" w:cs="Times New Roman"/>
              <w:szCs w:val="44"/>
            </w:rPr>
            <w:t>章</w:t>
          </w:r>
          <w:r>
            <w:rPr>
              <w:rFonts w:hint="eastAsia" w:ascii="黑体" w:hAnsi="黑体" w:eastAsia="黑体" w:cs="Times New Roman"/>
              <w:szCs w:val="44"/>
              <w:lang w:val="en-US" w:eastAsia="zh-CN"/>
            </w:rPr>
            <w:t xml:space="preserve"> </w:t>
          </w:r>
          <w:r>
            <w:rPr>
              <w:rFonts w:hint="eastAsia" w:ascii="黑体" w:hAnsi="黑体" w:eastAsia="黑体" w:cs="Times New Roman"/>
              <w:szCs w:val="44"/>
            </w:rPr>
            <w:t>保障措施</w:t>
          </w:r>
          <w:r>
            <w:tab/>
          </w:r>
          <w:r>
            <w:fldChar w:fldCharType="begin"/>
          </w:r>
          <w:r>
            <w:instrText xml:space="preserve"> PAGEREF _Toc23273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_Toc14545 </w:instrText>
          </w:r>
          <w:r>
            <w:fldChar w:fldCharType="separate"/>
          </w:r>
          <w:r>
            <w:rPr>
              <w:rFonts w:hint="eastAsia" w:ascii="黑体" w:hAnsi="黑体" w:eastAsia="黑体" w:cs="黑体"/>
              <w:szCs w:val="28"/>
              <w:shd w:val="clear" w:color="auto" w:fill="FFFFFF"/>
              <w:lang w:val="en-US" w:eastAsia="zh-CN"/>
            </w:rPr>
            <w:t>一、组织领导</w:t>
          </w:r>
          <w:r>
            <w:tab/>
          </w:r>
          <w:r>
            <w:fldChar w:fldCharType="begin"/>
          </w:r>
          <w:r>
            <w:instrText xml:space="preserve"> PAGEREF _Toc14545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_Toc10946 </w:instrText>
          </w:r>
          <w:r>
            <w:fldChar w:fldCharType="separate"/>
          </w:r>
          <w:r>
            <w:rPr>
              <w:rFonts w:hint="eastAsia" w:ascii="黑体" w:hAnsi="黑体" w:eastAsia="黑体" w:cs="黑体"/>
              <w:szCs w:val="28"/>
              <w:shd w:val="clear" w:color="auto" w:fill="FFFFFF"/>
              <w:lang w:val="en-US" w:eastAsia="zh-CN"/>
            </w:rPr>
            <w:t>二、法规标准</w:t>
          </w:r>
          <w:r>
            <w:tab/>
          </w:r>
          <w:r>
            <w:fldChar w:fldCharType="begin"/>
          </w:r>
          <w:r>
            <w:instrText xml:space="preserve"> PAGEREF _Toc10946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_Toc4318 </w:instrText>
          </w:r>
          <w:r>
            <w:fldChar w:fldCharType="separate"/>
          </w:r>
          <w:r>
            <w:rPr>
              <w:rFonts w:hint="eastAsia" w:ascii="黑体" w:hAnsi="黑体" w:eastAsia="黑体" w:cs="黑体"/>
              <w:szCs w:val="28"/>
              <w:shd w:val="clear" w:color="auto" w:fill="FFFFFF"/>
              <w:lang w:val="en-US" w:eastAsia="zh-CN"/>
            </w:rPr>
            <w:t>三、经济政策</w:t>
          </w:r>
          <w:r>
            <w:tab/>
          </w:r>
          <w:r>
            <w:fldChar w:fldCharType="begin"/>
          </w:r>
          <w:r>
            <w:instrText xml:space="preserve"> PAGEREF _Toc4318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_Toc19951 </w:instrText>
          </w:r>
          <w:r>
            <w:fldChar w:fldCharType="separate"/>
          </w:r>
          <w:r>
            <w:rPr>
              <w:rFonts w:hint="eastAsia" w:ascii="黑体" w:hAnsi="黑体" w:eastAsia="黑体" w:cs="黑体"/>
              <w:szCs w:val="28"/>
              <w:shd w:val="clear" w:color="auto" w:fill="FFFFFF"/>
              <w:lang w:val="en-US" w:eastAsia="zh-CN"/>
            </w:rPr>
            <w:t>四、科技支撑</w:t>
          </w:r>
          <w:r>
            <w:tab/>
          </w:r>
          <w:r>
            <w:fldChar w:fldCharType="begin"/>
          </w:r>
          <w:r>
            <w:instrText xml:space="preserve"> PAGEREF _Toc19951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_Toc7940 </w:instrText>
          </w:r>
          <w:r>
            <w:fldChar w:fldCharType="separate"/>
          </w:r>
          <w:r>
            <w:rPr>
              <w:rFonts w:hint="eastAsia" w:ascii="黑体" w:hAnsi="黑体" w:eastAsia="黑体" w:cs="黑体"/>
              <w:szCs w:val="28"/>
              <w:shd w:val="clear" w:color="auto" w:fill="FFFFFF"/>
              <w:lang w:val="en-US" w:eastAsia="zh-CN"/>
            </w:rPr>
            <w:t>五、监督管理</w:t>
          </w:r>
          <w:r>
            <w:tab/>
          </w:r>
          <w:r>
            <w:fldChar w:fldCharType="begin"/>
          </w:r>
          <w:r>
            <w:instrText xml:space="preserve"> PAGEREF _Toc7940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_Toc20382 </w:instrText>
          </w:r>
          <w:r>
            <w:fldChar w:fldCharType="separate"/>
          </w:r>
          <w:r>
            <w:rPr>
              <w:rFonts w:hint="eastAsia" w:ascii="黑体" w:hAnsi="黑体" w:eastAsia="黑体" w:cs="黑体"/>
              <w:szCs w:val="28"/>
              <w:shd w:val="clear" w:color="auto" w:fill="FFFFFF"/>
              <w:lang w:val="en-US" w:eastAsia="zh-CN"/>
            </w:rPr>
            <w:t>六、公众参与</w:t>
          </w:r>
          <w:r>
            <w:tab/>
          </w:r>
          <w:r>
            <w:fldChar w:fldCharType="begin"/>
          </w:r>
          <w:r>
            <w:instrText xml:space="preserve"> PAGEREF _Toc20382 </w:instrText>
          </w:r>
          <w:r>
            <w:fldChar w:fldCharType="separate"/>
          </w:r>
          <w:r>
            <w:t>14</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b/>
              <w:bCs/>
              <w:sz w:val="32"/>
              <w:szCs w:val="32"/>
            </w:rPr>
          </w:pPr>
          <w:r>
            <w:fldChar w:fldCharType="end"/>
          </w:r>
        </w:p>
      </w:sdtContent>
    </w:sdt>
    <w:p>
      <w:pPr>
        <w:pStyle w:val="3"/>
        <w:adjustRightInd w:val="0"/>
        <w:spacing w:beforeLines="100" w:afterLines="100" w:line="600" w:lineRule="exact"/>
        <w:ind w:left="0" w:leftChars="0"/>
        <w:jc w:val="center"/>
        <w:outlineLvl w:val="0"/>
        <w:rPr>
          <w:rFonts w:hint="eastAsia" w:ascii="黑体" w:hAnsi="黑体" w:eastAsia="黑体" w:cs="Times New Roman"/>
          <w:sz w:val="44"/>
          <w:szCs w:val="44"/>
        </w:rPr>
        <w:sectPr>
          <w:footerReference r:id="rId3" w:type="default"/>
          <w:pgSz w:w="11906" w:h="16838"/>
          <w:pgMar w:top="1440" w:right="1800" w:bottom="1440" w:left="1800" w:header="851" w:footer="992" w:gutter="0"/>
          <w:pgNumType w:start="1"/>
          <w:cols w:space="425" w:num="1"/>
          <w:docGrid w:type="lines" w:linePitch="312" w:charSpace="0"/>
        </w:sectPr>
      </w:pPr>
      <w:bookmarkStart w:id="0" w:name="_Toc2984"/>
    </w:p>
    <w:p>
      <w:pPr>
        <w:spacing w:line="576" w:lineRule="exact"/>
        <w:ind w:firstLine="560" w:firstLineChars="200"/>
        <w:rPr>
          <w:rFonts w:hint="eastAsia" w:asciiTheme="minorEastAsia" w:hAnsiTheme="minorEastAsia" w:cstheme="minorEastAsia"/>
          <w:color w:val="333333"/>
          <w:sz w:val="28"/>
          <w:szCs w:val="28"/>
          <w:shd w:val="clear" w:color="auto" w:fill="FFFFFF"/>
          <w:lang w:val="en-US" w:eastAsia="zh-CN"/>
        </w:rPr>
      </w:pPr>
      <w:r>
        <w:rPr>
          <w:rFonts w:hint="eastAsia" w:asciiTheme="minorEastAsia" w:hAnsiTheme="minorEastAsia" w:cstheme="minorEastAsia"/>
          <w:color w:val="333333"/>
          <w:sz w:val="28"/>
          <w:szCs w:val="28"/>
          <w:shd w:val="clear" w:color="auto" w:fill="FFFFFF"/>
          <w:lang w:val="en-US" w:eastAsia="zh-CN"/>
        </w:rPr>
        <w:t>蛟河市重点流域水生态环境保护“十四五”规划，根据《重点流域水生态环境保护规划（2021-2025 年）》和《吉林省生态环境保护“十四五”规划》《吉林市生态环境保护“十四五”规划》《蛟河市生态环境保护“十四五”规划》编制。主要阐明“十四五”期间全市重点流域水生态环境保护的总体思路、主要目标、重点任务和重大工程，落实国家和省市“十四五”期间对水生态环境保护工作提出的新要求，全面开创水生态环境保护新局面，为生态强省建设奠定坚实基础。</w:t>
      </w:r>
    </w:p>
    <w:p>
      <w:pPr>
        <w:pStyle w:val="3"/>
        <w:adjustRightInd w:val="0"/>
        <w:spacing w:beforeLines="100" w:afterLines="100" w:line="600" w:lineRule="exact"/>
        <w:ind w:left="0" w:leftChars="0"/>
        <w:jc w:val="center"/>
        <w:outlineLvl w:val="0"/>
        <w:rPr>
          <w:rFonts w:hint="eastAsia" w:ascii="黑体" w:hAnsi="黑体" w:eastAsia="黑体" w:cs="Times New Roman"/>
          <w:sz w:val="44"/>
          <w:szCs w:val="44"/>
          <w:lang w:eastAsia="zh-CN"/>
        </w:rPr>
      </w:pPr>
      <w:bookmarkStart w:id="1" w:name="_Toc5707"/>
      <w:r>
        <w:rPr>
          <w:rFonts w:hint="eastAsia" w:ascii="黑体" w:hAnsi="黑体" w:eastAsia="黑体" w:cs="Times New Roman"/>
          <w:sz w:val="44"/>
          <w:szCs w:val="44"/>
        </w:rPr>
        <w:t>第一章</w:t>
      </w:r>
      <w:r>
        <w:rPr>
          <w:rFonts w:hint="eastAsia" w:ascii="黑体" w:hAnsi="黑体" w:eastAsia="黑体" w:cs="Times New Roman"/>
          <w:sz w:val="44"/>
          <w:szCs w:val="44"/>
          <w:lang w:val="en-US" w:eastAsia="zh-CN"/>
        </w:rPr>
        <w:t xml:space="preserve"> </w:t>
      </w:r>
      <w:bookmarkEnd w:id="0"/>
      <w:r>
        <w:rPr>
          <w:rFonts w:hint="eastAsia" w:ascii="黑体" w:hAnsi="黑体" w:eastAsia="黑体" w:cs="Times New Roman"/>
          <w:sz w:val="44"/>
          <w:szCs w:val="44"/>
          <w:lang w:eastAsia="zh-CN"/>
        </w:rPr>
        <w:t>规划背景</w:t>
      </w:r>
      <w:bookmarkEnd w:id="1"/>
    </w:p>
    <w:p>
      <w:pPr>
        <w:spacing w:line="576" w:lineRule="exact"/>
        <w:ind w:firstLine="560" w:firstLineChars="200"/>
        <w:rPr>
          <w:rFonts w:hint="eastAsia" w:ascii="宋体" w:hAnsi="宋体" w:cs="宋体" w:eastAsiaTheme="minorEastAsia"/>
          <w:bCs/>
          <w:kern w:val="2"/>
          <w:sz w:val="28"/>
          <w:szCs w:val="28"/>
          <w:lang w:val="en-US" w:eastAsia="zh-CN" w:bidi="ar-SA"/>
        </w:rPr>
      </w:pPr>
      <w:bookmarkStart w:id="2" w:name="_Toc13314"/>
      <w:r>
        <w:rPr>
          <w:rFonts w:hint="eastAsia" w:asciiTheme="minorEastAsia" w:hAnsiTheme="minorEastAsia" w:cstheme="minorEastAsia"/>
          <w:color w:val="333333"/>
          <w:sz w:val="28"/>
          <w:szCs w:val="28"/>
          <w:shd w:val="clear" w:color="auto" w:fill="FFFFFF"/>
          <w:lang w:eastAsia="zh-CN"/>
        </w:rPr>
        <w:t>“十三五”时期，全市水生态环境保护工作取得了突破性进展，“十四五”时期，是我国“两个一百年”奋斗目标的历史交汇期，新阶段、新形势、新任务对水生态环境保护提出了新要求，必须认清形势，巩固成果，再接再厉，久久为功，奋力开启水生态环境保护新征程。</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3" w:name="_Toc22362"/>
      <w:r>
        <w:rPr>
          <w:rFonts w:hint="eastAsia" w:ascii="黑体" w:hAnsi="黑体" w:eastAsia="黑体" w:cs="黑体"/>
          <w:color w:val="333333"/>
          <w:sz w:val="28"/>
          <w:szCs w:val="28"/>
          <w:shd w:val="clear" w:color="auto" w:fill="FFFFFF"/>
          <w:lang w:val="en-US" w:eastAsia="zh-CN"/>
        </w:rPr>
        <w:t>一、“十三五”水生态环境保护主要成效</w:t>
      </w:r>
      <w:bookmarkEnd w:id="3"/>
    </w:p>
    <w:p>
      <w:pPr>
        <w:spacing w:line="576" w:lineRule="exact"/>
        <w:ind w:firstLine="562" w:firstLineChars="200"/>
        <w:rPr>
          <w:rFonts w:hint="eastAsia" w:ascii="楷体_GB2312" w:hAnsi="楷体_GB2312" w:eastAsia="楷体_GB2312" w:cs="楷体_GB2312"/>
          <w:b/>
          <w:bCs/>
          <w:color w:val="333333"/>
          <w:sz w:val="28"/>
          <w:szCs w:val="28"/>
          <w:shd w:val="clear" w:color="auto" w:fill="FFFFFF"/>
        </w:rPr>
      </w:pPr>
      <w:r>
        <w:rPr>
          <w:rFonts w:hint="eastAsia" w:ascii="楷体_GB2312" w:hAnsi="楷体_GB2312" w:eastAsia="楷体_GB2312" w:cs="楷体_GB2312"/>
          <w:b/>
          <w:bCs/>
          <w:color w:val="333333"/>
          <w:sz w:val="28"/>
          <w:szCs w:val="28"/>
          <w:shd w:val="clear" w:color="auto" w:fill="FFFFFF"/>
          <w:lang w:val="en-US" w:eastAsia="zh-CN"/>
        </w:rPr>
        <w:t>（一）</w:t>
      </w:r>
      <w:r>
        <w:rPr>
          <w:rFonts w:hint="eastAsia" w:ascii="楷体_GB2312" w:hAnsi="楷体_GB2312" w:eastAsia="楷体_GB2312" w:cs="楷体_GB2312"/>
          <w:b/>
          <w:bCs/>
          <w:color w:val="333333"/>
          <w:sz w:val="28"/>
          <w:szCs w:val="28"/>
          <w:shd w:val="clear" w:color="auto" w:fill="FFFFFF"/>
        </w:rPr>
        <w:t>“十三五”水环境目标指标提前完成</w:t>
      </w:r>
    </w:p>
    <w:p>
      <w:pPr>
        <w:pStyle w:val="21"/>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b w:val="0"/>
          <w:bCs/>
          <w:sz w:val="28"/>
          <w:szCs w:val="28"/>
          <w:highlight w:val="none"/>
          <w:lang w:val="en-US" w:eastAsia="zh-CN"/>
        </w:rPr>
        <w:t>截止2020年底，基本完成“十三五”环境保护规划的各项指标，</w:t>
      </w:r>
      <w:r>
        <w:rPr>
          <w:rFonts w:hint="eastAsia" w:ascii="宋体" w:hAnsi="宋体" w:eastAsia="宋体" w:cs="宋体"/>
          <w:sz w:val="28"/>
          <w:szCs w:val="28"/>
          <w:highlight w:val="none"/>
          <w:lang w:val="en-US" w:eastAsia="zh-CN"/>
        </w:rPr>
        <w:t>地表水国控考核断面优良水体比例达到100%；Ⅴ类、劣Ⅴ类水体及城市建成区黑臭水体基本消除</w:t>
      </w:r>
      <w:bookmarkStart w:id="37" w:name="_GoBack"/>
      <w:bookmarkEnd w:id="37"/>
      <w:r>
        <w:rPr>
          <w:rFonts w:hint="eastAsia" w:ascii="宋体" w:hAnsi="宋体" w:eastAsia="宋体" w:cs="宋体"/>
          <w:sz w:val="28"/>
          <w:szCs w:val="28"/>
          <w:highlight w:val="none"/>
          <w:lang w:val="en-US" w:eastAsia="zh-CN"/>
        </w:rPr>
        <w:t>。</w:t>
      </w:r>
    </w:p>
    <w:p>
      <w:pPr>
        <w:spacing w:line="576" w:lineRule="exact"/>
        <w:ind w:firstLine="562" w:firstLineChars="200"/>
        <w:rPr>
          <w:rFonts w:hint="eastAsia" w:ascii="楷体_GB2312" w:hAnsi="楷体_GB2312" w:eastAsia="楷体_GB2312" w:cs="楷体_GB2312"/>
          <w:b/>
          <w:bCs/>
          <w:color w:val="333333"/>
          <w:sz w:val="28"/>
          <w:szCs w:val="28"/>
          <w:shd w:val="clear" w:color="auto" w:fill="FFFFFF"/>
        </w:rPr>
      </w:pPr>
      <w:r>
        <w:rPr>
          <w:rFonts w:hint="eastAsia" w:ascii="楷体_GB2312" w:hAnsi="楷体_GB2312" w:eastAsia="楷体_GB2312" w:cs="楷体_GB2312"/>
          <w:b/>
          <w:bCs/>
          <w:color w:val="333333"/>
          <w:sz w:val="28"/>
          <w:szCs w:val="28"/>
          <w:shd w:val="clear" w:color="auto" w:fill="FFFFFF"/>
          <w:lang w:val="en-US" w:eastAsia="zh-CN"/>
        </w:rPr>
        <w:t>（二）</w:t>
      </w:r>
      <w:r>
        <w:rPr>
          <w:rFonts w:hint="eastAsia" w:ascii="楷体_GB2312" w:hAnsi="楷体_GB2312" w:eastAsia="楷体_GB2312" w:cs="楷体_GB2312"/>
          <w:b/>
          <w:bCs/>
          <w:color w:val="333333"/>
          <w:sz w:val="28"/>
          <w:szCs w:val="28"/>
          <w:shd w:val="clear" w:color="auto" w:fill="FFFFFF"/>
        </w:rPr>
        <w:t>碧水保卫战扎实推进</w:t>
      </w:r>
    </w:p>
    <w:p>
      <w:pPr>
        <w:keepLines w:val="0"/>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b w:val="0"/>
          <w:bCs/>
          <w:sz w:val="28"/>
          <w:szCs w:val="28"/>
          <w:shd w:val="clear" w:color="auto" w:fill="FFFFFF"/>
          <w:lang w:val="en-US" w:eastAsia="zh-CN"/>
        </w:rPr>
        <w:t>以</w:t>
      </w:r>
      <w:r>
        <w:rPr>
          <w:rFonts w:hint="eastAsia" w:ascii="宋体" w:hAnsi="宋体" w:eastAsia="宋体" w:cs="宋体"/>
          <w:b w:val="0"/>
          <w:bCs/>
          <w:sz w:val="28"/>
          <w:szCs w:val="28"/>
          <w:shd w:val="clear" w:color="auto" w:fill="FFFFFF"/>
        </w:rPr>
        <w:t>落实</w:t>
      </w:r>
      <w:r>
        <w:rPr>
          <w:rFonts w:hint="eastAsia" w:ascii="宋体" w:hAnsi="宋体" w:eastAsia="宋体" w:cs="宋体"/>
          <w:b w:val="0"/>
          <w:bCs/>
          <w:sz w:val="28"/>
          <w:szCs w:val="28"/>
          <w:shd w:val="clear" w:color="auto" w:fill="FFFFFF"/>
          <w:lang w:val="en-US" w:eastAsia="zh-CN"/>
        </w:rPr>
        <w:t>水污染防治行动计划目标任务为核心，制定《蛟河市水质提升工作方案》《集中式饮用水水源地环境保护专项行动方案》，建立了政府主导、部门各负其责、协同共治的水污染防治工作机制，同时实施严格考核问责，统筹推进水资源节约利用、城镇污水处理、工业污染防治、农业农村污染防治、城市黑臭水体整治、船舶码头污染防治、水生态保护修复，各项主要工作目标基本实现。全面建立推行</w:t>
      </w:r>
      <w:r>
        <w:rPr>
          <w:rFonts w:hint="eastAsia" w:ascii="宋体" w:hAnsi="宋体" w:eastAsia="宋体" w:cs="宋体"/>
          <w:b w:val="0"/>
          <w:bCs/>
          <w:sz w:val="28"/>
          <w:szCs w:val="28"/>
          <w:shd w:val="clear" w:color="auto" w:fill="FFFFFF"/>
        </w:rPr>
        <w:t>河长制，</w:t>
      </w:r>
      <w:r>
        <w:rPr>
          <w:rFonts w:hint="eastAsia" w:ascii="宋体" w:hAnsi="宋体" w:eastAsia="宋体" w:cs="宋体"/>
          <w:b w:val="0"/>
          <w:bCs/>
          <w:sz w:val="28"/>
          <w:szCs w:val="28"/>
          <w:shd w:val="clear" w:color="auto" w:fill="FFFFFF"/>
          <w:lang w:val="en-US" w:eastAsia="zh-CN"/>
        </w:rPr>
        <w:t>制</w:t>
      </w:r>
      <w:r>
        <w:rPr>
          <w:rFonts w:hint="eastAsia" w:ascii="宋体" w:hAnsi="宋体" w:eastAsia="宋体" w:cs="宋体"/>
          <w:b w:val="0"/>
          <w:bCs/>
          <w:color w:val="auto"/>
          <w:sz w:val="28"/>
          <w:szCs w:val="28"/>
          <w:shd w:val="clear" w:color="auto" w:fill="FFFFFF"/>
          <w:lang w:val="en-US" w:eastAsia="zh-CN"/>
        </w:rPr>
        <w:t>定了</w:t>
      </w:r>
      <w:r>
        <w:rPr>
          <w:rFonts w:hint="eastAsia" w:ascii="宋体" w:hAnsi="宋体" w:eastAsia="宋体" w:cs="宋体"/>
          <w:b w:val="0"/>
          <w:bCs/>
          <w:color w:val="auto"/>
          <w:sz w:val="28"/>
          <w:szCs w:val="28"/>
          <w:shd w:val="clear" w:color="auto" w:fill="FFFFFF"/>
        </w:rPr>
        <w:t>《</w:t>
      </w:r>
      <w:r>
        <w:rPr>
          <w:rFonts w:hint="eastAsia" w:ascii="宋体" w:hAnsi="宋体" w:eastAsia="宋体" w:cs="宋体"/>
          <w:b w:val="0"/>
          <w:bCs/>
          <w:color w:val="auto"/>
          <w:sz w:val="28"/>
          <w:szCs w:val="28"/>
          <w:shd w:val="clear" w:color="auto" w:fill="FFFFFF"/>
          <w:lang w:eastAsia="zh-CN"/>
        </w:rPr>
        <w:t>蛟河市</w:t>
      </w:r>
      <w:r>
        <w:rPr>
          <w:rFonts w:hint="eastAsia" w:ascii="宋体" w:hAnsi="宋体" w:eastAsia="宋体" w:cs="宋体"/>
          <w:b w:val="0"/>
          <w:bCs/>
          <w:color w:val="auto"/>
          <w:sz w:val="28"/>
          <w:szCs w:val="28"/>
          <w:shd w:val="clear" w:color="auto" w:fill="FFFFFF"/>
        </w:rPr>
        <w:t>全面推行河长制实施工作方案》，</w:t>
      </w:r>
      <w:r>
        <w:rPr>
          <w:rFonts w:hint="eastAsia" w:ascii="宋体" w:hAnsi="宋体" w:eastAsia="宋体" w:cs="宋体"/>
          <w:b w:val="0"/>
          <w:bCs/>
          <w:sz w:val="28"/>
          <w:szCs w:val="28"/>
          <w:shd w:val="clear" w:color="auto" w:fill="FFFFFF"/>
        </w:rPr>
        <w:t>建立</w:t>
      </w:r>
      <w:r>
        <w:rPr>
          <w:rFonts w:hint="eastAsia" w:ascii="宋体" w:hAnsi="宋体" w:eastAsia="宋体" w:cs="宋体"/>
          <w:b w:val="0"/>
          <w:bCs/>
          <w:sz w:val="28"/>
          <w:szCs w:val="28"/>
          <w:shd w:val="clear" w:color="auto" w:fill="FFFFFF"/>
          <w:lang w:val="en-US" w:eastAsia="zh-CN"/>
        </w:rPr>
        <w:t>了河长制</w:t>
      </w:r>
      <w:r>
        <w:rPr>
          <w:rFonts w:hint="eastAsia" w:ascii="宋体" w:hAnsi="宋体" w:eastAsia="宋体" w:cs="宋体"/>
          <w:b w:val="0"/>
          <w:bCs/>
          <w:sz w:val="28"/>
          <w:szCs w:val="28"/>
          <w:shd w:val="clear" w:color="auto" w:fill="FFFFFF"/>
        </w:rPr>
        <w:t>组织体系</w:t>
      </w:r>
      <w:r>
        <w:rPr>
          <w:rFonts w:hint="eastAsia" w:ascii="宋体" w:hAnsi="宋体" w:eastAsia="宋体" w:cs="宋体"/>
          <w:b w:val="0"/>
          <w:bCs/>
          <w:sz w:val="28"/>
          <w:szCs w:val="28"/>
          <w:shd w:val="clear" w:color="auto" w:fill="FFFFFF"/>
          <w:lang w:eastAsia="zh-CN"/>
        </w:rPr>
        <w:t>、</w:t>
      </w:r>
      <w:r>
        <w:rPr>
          <w:rFonts w:hint="eastAsia" w:ascii="宋体" w:hAnsi="宋体" w:eastAsia="宋体" w:cs="宋体"/>
          <w:b w:val="0"/>
          <w:bCs/>
          <w:sz w:val="28"/>
          <w:szCs w:val="28"/>
          <w:shd w:val="clear" w:color="auto" w:fill="FFFFFF"/>
          <w:lang w:val="en-US" w:eastAsia="zh-CN"/>
        </w:rPr>
        <w:t>目标任务体系和考核体系，建立了河湖警长制，重点实施了河湖“清四乱”专项行动，全面落实河长制，开展“一河一策治理”，强化联动机制，实现长制久清</w:t>
      </w:r>
      <w:r>
        <w:rPr>
          <w:rFonts w:hint="eastAsia" w:ascii="宋体" w:hAnsi="宋体" w:eastAsia="宋体" w:cs="宋体"/>
          <w:b w:val="0"/>
          <w:bCs/>
          <w:sz w:val="28"/>
          <w:szCs w:val="28"/>
          <w:shd w:val="clear" w:color="auto" w:fill="FFFFFF"/>
          <w:lang w:eastAsia="zh-CN"/>
        </w:rPr>
        <w:t>；</w:t>
      </w:r>
      <w:r>
        <w:rPr>
          <w:rFonts w:hint="eastAsia" w:ascii="宋体" w:hAnsi="宋体" w:eastAsia="宋体" w:cs="宋体"/>
          <w:b w:val="0"/>
          <w:bCs/>
          <w:sz w:val="28"/>
          <w:szCs w:val="28"/>
          <w:shd w:val="clear" w:color="auto" w:fill="FFFFFF"/>
        </w:rPr>
        <w:t>加强农村水源地保护力度，实施了15处农村集中式供水工程水源保护区划定工作</w:t>
      </w:r>
      <w:r>
        <w:rPr>
          <w:rFonts w:hint="eastAsia" w:ascii="宋体" w:hAnsi="宋体" w:eastAsia="宋体" w:cs="宋体"/>
          <w:b w:val="0"/>
          <w:bCs/>
          <w:sz w:val="28"/>
          <w:szCs w:val="28"/>
          <w:shd w:val="clear" w:color="auto" w:fill="FFFFFF"/>
          <w:lang w:eastAsia="zh-CN"/>
        </w:rPr>
        <w:t>；</w:t>
      </w:r>
      <w:r>
        <w:rPr>
          <w:rFonts w:hint="eastAsia" w:ascii="宋体" w:hAnsi="宋体" w:eastAsia="宋体" w:cs="宋体"/>
          <w:b w:val="0"/>
          <w:bCs/>
          <w:sz w:val="28"/>
          <w:szCs w:val="28"/>
          <w:shd w:val="clear" w:color="auto" w:fill="FFFFFF"/>
        </w:rPr>
        <w:t>积极推进入河排污口综合整治，26个入河排污口全部整治完毕，对需安装标志牌的101排污口全部安装了排污口标志牌</w:t>
      </w:r>
      <w:r>
        <w:rPr>
          <w:rFonts w:hint="eastAsia" w:ascii="宋体" w:hAnsi="宋体" w:eastAsia="宋体" w:cs="宋体"/>
          <w:b w:val="0"/>
          <w:bCs/>
          <w:sz w:val="28"/>
          <w:szCs w:val="28"/>
          <w:shd w:val="clear" w:color="auto" w:fill="FFFFFF"/>
          <w:lang w:eastAsia="zh-CN"/>
        </w:rPr>
        <w:t>；</w:t>
      </w:r>
      <w:r>
        <w:rPr>
          <w:rFonts w:hint="eastAsia" w:ascii="宋体" w:hAnsi="宋体" w:eastAsia="宋体" w:cs="宋体"/>
          <w:b w:val="0"/>
          <w:bCs/>
          <w:sz w:val="28"/>
          <w:szCs w:val="28"/>
          <w:shd w:val="clear" w:color="auto" w:fill="FFFFFF"/>
        </w:rPr>
        <w:t>加快推进白石山、新站、漂河污水厂建设，我市四个重点镇污水厂建设任务全部完成</w:t>
      </w:r>
      <w:r>
        <w:rPr>
          <w:rFonts w:hint="eastAsia" w:ascii="宋体" w:hAnsi="宋体" w:eastAsia="宋体" w:cs="宋体"/>
          <w:b w:val="0"/>
          <w:bCs/>
          <w:sz w:val="28"/>
          <w:szCs w:val="28"/>
          <w:shd w:val="clear" w:color="auto" w:fill="FFFFFF"/>
          <w:lang w:eastAsia="zh-CN"/>
        </w:rPr>
        <w:t>；</w:t>
      </w:r>
      <w:r>
        <w:rPr>
          <w:rFonts w:hint="eastAsia" w:ascii="宋体" w:hAnsi="宋体" w:eastAsia="宋体" w:cs="宋体"/>
          <w:b w:val="0"/>
          <w:bCs/>
          <w:sz w:val="28"/>
          <w:szCs w:val="28"/>
          <w:shd w:val="clear" w:color="auto" w:fill="FFFFFF"/>
        </w:rPr>
        <w:t>组织实施了城市水源地保护工程，编制了《团山子水源地安全保障达标规划》，实施了全市河道“清拓、筑堤、疏通”工程，谋划包装了一批水源地水质提升、农村生活污水治理、河道水生态修复项目，向实现“水清、河畅、岸绿、鱼肥、景美”目标更进一步。</w:t>
      </w:r>
    </w:p>
    <w:p>
      <w:pPr>
        <w:spacing w:line="576" w:lineRule="exact"/>
        <w:ind w:firstLine="562" w:firstLineChars="200"/>
        <w:rPr>
          <w:rFonts w:hint="eastAsia" w:ascii="楷体_GB2312" w:hAnsi="楷体_GB2312" w:eastAsia="楷体_GB2312" w:cs="楷体_GB2312"/>
          <w:b/>
          <w:bCs/>
          <w:color w:val="333333"/>
          <w:sz w:val="28"/>
          <w:szCs w:val="28"/>
          <w:shd w:val="clear" w:color="auto" w:fill="FFFFFF"/>
          <w:lang w:val="en-US" w:eastAsia="zh-CN"/>
        </w:rPr>
      </w:pPr>
      <w:r>
        <w:rPr>
          <w:rFonts w:hint="eastAsia" w:ascii="楷体_GB2312" w:hAnsi="楷体_GB2312" w:eastAsia="楷体_GB2312" w:cs="楷体_GB2312"/>
          <w:b/>
          <w:bCs/>
          <w:color w:val="333333"/>
          <w:sz w:val="28"/>
          <w:szCs w:val="28"/>
          <w:shd w:val="clear" w:color="auto" w:fill="FFFFFF"/>
          <w:lang w:val="en-US" w:eastAsia="zh-CN"/>
        </w:rPr>
        <w:t>（三）生态环境监管体系逐步完善</w:t>
      </w:r>
    </w:p>
    <w:p>
      <w:pPr>
        <w:keepLines w:val="0"/>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shd w:val="clear" w:color="auto" w:fill="FFFFFF"/>
        </w:rPr>
        <w:t>完善</w:t>
      </w:r>
      <w:r>
        <w:rPr>
          <w:rFonts w:hint="eastAsia" w:ascii="宋体" w:hAnsi="宋体" w:eastAsia="宋体" w:cs="宋体"/>
          <w:sz w:val="28"/>
          <w:szCs w:val="28"/>
          <w:highlight w:val="none"/>
          <w:shd w:val="clear" w:color="auto" w:fill="FFFFFF"/>
          <w:lang w:eastAsia="zh-CN"/>
        </w:rPr>
        <w:t>水</w:t>
      </w:r>
      <w:r>
        <w:rPr>
          <w:rFonts w:hint="eastAsia" w:ascii="宋体" w:hAnsi="宋体" w:eastAsia="宋体" w:cs="宋体"/>
          <w:sz w:val="28"/>
          <w:szCs w:val="28"/>
          <w:highlight w:val="none"/>
          <w:shd w:val="clear" w:color="auto" w:fill="FFFFFF"/>
        </w:rPr>
        <w:t>生态环境监管体系，</w:t>
      </w:r>
      <w:r>
        <w:rPr>
          <w:rFonts w:hint="eastAsia" w:ascii="宋体" w:hAnsi="宋体" w:eastAsia="宋体" w:cs="宋体"/>
          <w:sz w:val="28"/>
          <w:szCs w:val="28"/>
          <w:shd w:val="clear" w:color="auto" w:fill="FFFFFF"/>
        </w:rPr>
        <w:t>严格落实排污许可制度，完成</w:t>
      </w:r>
      <w:r>
        <w:rPr>
          <w:rFonts w:hint="eastAsia" w:ascii="宋体" w:hAnsi="宋体" w:eastAsia="宋体" w:cs="宋体"/>
          <w:sz w:val="28"/>
          <w:szCs w:val="28"/>
          <w:shd w:val="clear" w:color="auto" w:fill="FFFFFF"/>
          <w:lang w:eastAsia="zh-CN"/>
        </w:rPr>
        <w:t>蛟河市</w:t>
      </w:r>
      <w:r>
        <w:rPr>
          <w:rFonts w:hint="eastAsia" w:ascii="宋体" w:hAnsi="宋体" w:eastAsia="宋体" w:cs="宋体"/>
          <w:sz w:val="28"/>
          <w:szCs w:val="28"/>
          <w:shd w:val="clear" w:color="auto" w:fill="FFFFFF"/>
        </w:rPr>
        <w:t>“全国固定污染源排污许可全覆盖”工作</w:t>
      </w:r>
      <w:r>
        <w:rPr>
          <w:rFonts w:hint="eastAsia" w:ascii="宋体" w:hAnsi="宋体" w:eastAsia="宋体" w:cs="宋体"/>
          <w:sz w:val="28"/>
          <w:szCs w:val="28"/>
          <w:highlight w:val="none"/>
          <w:shd w:val="clear" w:color="auto" w:fill="FFFFFF"/>
          <w:lang w:eastAsia="zh-CN"/>
        </w:rPr>
        <w:t>。</w:t>
      </w:r>
      <w:r>
        <w:rPr>
          <w:rFonts w:hint="eastAsia" w:ascii="宋体" w:hAnsi="宋体" w:eastAsia="宋体" w:cs="宋体"/>
          <w:sz w:val="28"/>
          <w:szCs w:val="28"/>
          <w:highlight w:val="none"/>
          <w:shd w:val="clear" w:color="auto" w:fill="FFFFFF"/>
        </w:rPr>
        <w:t>创新环境治理模式，积极筹划推动“环保管家”服务入区进企。</w:t>
      </w:r>
      <w:r>
        <w:rPr>
          <w:rFonts w:hint="eastAsia" w:ascii="宋体" w:hAnsi="宋体" w:eastAsia="宋体" w:cs="宋体"/>
          <w:sz w:val="28"/>
          <w:szCs w:val="28"/>
          <w:highlight w:val="none"/>
          <w:shd w:val="clear" w:color="auto" w:fill="FFFFFF"/>
          <w:lang w:eastAsia="zh-CN"/>
        </w:rPr>
        <w:t>水</w:t>
      </w:r>
      <w:r>
        <w:rPr>
          <w:rFonts w:hint="eastAsia" w:ascii="宋体" w:hAnsi="宋体" w:eastAsia="宋体" w:cs="宋体"/>
          <w:sz w:val="28"/>
          <w:szCs w:val="28"/>
          <w:highlight w:val="none"/>
          <w:shd w:val="clear" w:color="auto" w:fill="FFFFFF"/>
          <w:lang w:val="en-US" w:eastAsia="zh-CN"/>
        </w:rPr>
        <w:t>生态环境执法力度持续加大。</w:t>
      </w:r>
      <w:r>
        <w:rPr>
          <w:rFonts w:hint="eastAsia" w:ascii="宋体" w:hAnsi="宋体" w:eastAsia="宋体" w:cs="宋体"/>
          <w:sz w:val="28"/>
          <w:szCs w:val="28"/>
          <w:highlight w:val="none"/>
          <w:shd w:val="clear" w:color="auto" w:fill="FFFFFF"/>
        </w:rPr>
        <w:t>在深化执法改革、强化环境执法与司法衔接、推动执法制度建设上取得了积极进展，有效开展聚焦重点时段、重点区域、重点领域的</w:t>
      </w:r>
      <w:r>
        <w:rPr>
          <w:rFonts w:hint="eastAsia" w:ascii="宋体" w:hAnsi="宋体" w:eastAsia="宋体" w:cs="宋体"/>
          <w:sz w:val="28"/>
          <w:szCs w:val="28"/>
          <w:highlight w:val="none"/>
          <w:shd w:val="clear" w:color="auto" w:fill="FFFFFF"/>
          <w:lang w:eastAsia="zh-CN"/>
        </w:rPr>
        <w:t>水生态环境</w:t>
      </w:r>
      <w:r>
        <w:rPr>
          <w:rFonts w:hint="eastAsia" w:ascii="宋体" w:hAnsi="宋体" w:eastAsia="宋体" w:cs="宋体"/>
          <w:sz w:val="28"/>
          <w:szCs w:val="28"/>
          <w:highlight w:val="none"/>
          <w:shd w:val="clear" w:color="auto" w:fill="FFFFFF"/>
        </w:rPr>
        <w:t>执法行动，严厉打击</w:t>
      </w:r>
      <w:r>
        <w:rPr>
          <w:rFonts w:hint="eastAsia" w:ascii="宋体" w:hAnsi="宋体" w:eastAsia="宋体" w:cs="宋体"/>
          <w:sz w:val="28"/>
          <w:szCs w:val="28"/>
          <w:highlight w:val="none"/>
          <w:shd w:val="clear" w:color="auto" w:fill="FFFFFF"/>
          <w:lang w:eastAsia="zh-CN"/>
        </w:rPr>
        <w:t>水</w:t>
      </w:r>
      <w:r>
        <w:rPr>
          <w:rFonts w:hint="eastAsia" w:ascii="宋体" w:hAnsi="宋体" w:eastAsia="宋体" w:cs="宋体"/>
          <w:sz w:val="28"/>
          <w:szCs w:val="28"/>
          <w:highlight w:val="none"/>
          <w:shd w:val="clear" w:color="auto" w:fill="FFFFFF"/>
        </w:rPr>
        <w:t>环境违法行为。</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4" w:name="_Toc13478"/>
      <w:r>
        <w:rPr>
          <w:rFonts w:hint="eastAsia" w:ascii="黑体" w:hAnsi="黑体" w:eastAsia="黑体" w:cs="黑体"/>
          <w:color w:val="333333"/>
          <w:sz w:val="28"/>
          <w:szCs w:val="28"/>
          <w:shd w:val="clear" w:color="auto" w:fill="FFFFFF"/>
          <w:lang w:val="en-US" w:eastAsia="zh-CN"/>
        </w:rPr>
        <w:t>二、“十四五”水生态环境保护面临的机遇挑战</w:t>
      </w:r>
      <w:bookmarkEnd w:id="4"/>
    </w:p>
    <w:p>
      <w:pPr>
        <w:keepLines w:val="0"/>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“十四五”时期，生态环境保护工作仍处于可以大有作为的战略机遇期，水生态环境保护既面临良好机遇，同时也面临严峻挑战。</w:t>
      </w:r>
    </w:p>
    <w:p>
      <w:pPr>
        <w:keepLines w:val="0"/>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Theme="minorEastAsia" w:hAnsiTheme="minorEastAsia" w:cstheme="minorEastAsia"/>
          <w:color w:val="333333"/>
          <w:sz w:val="28"/>
          <w:szCs w:val="28"/>
          <w:shd w:val="clear" w:color="auto" w:fill="FFFFFF"/>
        </w:rPr>
      </w:pPr>
      <w:r>
        <w:rPr>
          <w:rFonts w:hint="eastAsia" w:ascii="宋体" w:hAnsi="宋体" w:eastAsia="宋体" w:cs="宋体"/>
          <w:b w:val="0"/>
          <w:bCs/>
          <w:sz w:val="28"/>
          <w:szCs w:val="28"/>
          <w:shd w:val="clear" w:color="auto" w:fill="FFFFFF"/>
          <w:lang w:val="en-US" w:eastAsia="zh-CN"/>
        </w:rPr>
        <w:t>进入新发展阶段，国家在“十四五”经济社会发展规划和2035年远景目标纲要中提出生态文明建设实现新进步的宏伟目标，要求完善水污染防治流域协同机制，加强重点流域、重点湖泊、城市水体综合治理，推进美丽河湖保护与建设，为我市强化水生态环境保护提供</w:t>
      </w:r>
      <w:r>
        <w:rPr>
          <w:rFonts w:hint="eastAsia" w:asciiTheme="minorEastAsia" w:hAnsiTheme="minorEastAsia" w:cstheme="minorEastAsia"/>
          <w:color w:val="333333"/>
          <w:sz w:val="28"/>
          <w:szCs w:val="28"/>
          <w:shd w:val="clear" w:color="auto" w:fill="FFFFFF"/>
        </w:rPr>
        <w:t>了良好的</w:t>
      </w:r>
      <w:r>
        <w:rPr>
          <w:rFonts w:hint="eastAsia" w:asciiTheme="minorEastAsia" w:hAnsiTheme="minorEastAsia" w:cstheme="minorEastAsia"/>
          <w:b/>
          <w:bCs/>
          <w:color w:val="333333"/>
          <w:sz w:val="28"/>
          <w:szCs w:val="28"/>
          <w:shd w:val="clear" w:color="auto" w:fill="FFFFFF"/>
        </w:rPr>
        <w:t>时代机遇</w:t>
      </w:r>
      <w:r>
        <w:rPr>
          <w:rFonts w:hint="eastAsia" w:asciiTheme="minorEastAsia" w:hAnsiTheme="minorEastAsia" w:cstheme="minorEastAsia"/>
          <w:color w:val="333333"/>
          <w:sz w:val="28"/>
          <w:szCs w:val="28"/>
          <w:shd w:val="clear" w:color="auto" w:fill="FFFFFF"/>
        </w:rPr>
        <w:t>；国家提出加快构建以国内大循环为主体，国内国际双循环相互促进的新发展格局，积极推进扩大内需战略，加快基础设施建设，为补齐水环境基础设施短板，提高水污染防治能力，提供了良好的</w:t>
      </w:r>
      <w:r>
        <w:rPr>
          <w:rFonts w:hint="eastAsia" w:asciiTheme="minorEastAsia" w:hAnsiTheme="minorEastAsia" w:cstheme="minorEastAsia"/>
          <w:b/>
          <w:bCs/>
          <w:color w:val="333333"/>
          <w:sz w:val="28"/>
          <w:szCs w:val="28"/>
          <w:shd w:val="clear" w:color="auto" w:fill="FFFFFF"/>
        </w:rPr>
        <w:t>政策机遇</w:t>
      </w:r>
      <w:r>
        <w:rPr>
          <w:rFonts w:hint="eastAsia" w:asciiTheme="minorEastAsia" w:hAnsiTheme="minorEastAsia" w:cstheme="minorEastAsia"/>
          <w:b w:val="0"/>
          <w:bCs w:val="0"/>
          <w:color w:val="333333"/>
          <w:sz w:val="28"/>
          <w:szCs w:val="28"/>
          <w:shd w:val="clear" w:color="auto" w:fill="FFFFFF"/>
          <w:lang w:eastAsia="zh-CN"/>
        </w:rPr>
        <w:t>；</w:t>
      </w:r>
      <w:r>
        <w:rPr>
          <w:rFonts w:hint="eastAsia" w:asciiTheme="minorEastAsia" w:hAnsiTheme="minorEastAsia" w:cstheme="minorEastAsia"/>
          <w:color w:val="333333"/>
          <w:sz w:val="28"/>
          <w:szCs w:val="28"/>
          <w:shd w:val="clear" w:color="auto" w:fill="FFFFFF"/>
        </w:rPr>
        <w:t>“十四五”期间，国家将深入实施乡村振兴战略，强化以城代乡、以工促农，农村水生态将随着山水林田湖草沙统筹修复得到有效保护，农业面源污染将随着发展绿色农业得到有效控制，农村水环境质量将随着农村环境综合整治得到有效提高，为做好“十四五”水生态环境保护提供了良好的</w:t>
      </w:r>
      <w:r>
        <w:rPr>
          <w:rFonts w:hint="eastAsia" w:asciiTheme="minorEastAsia" w:hAnsiTheme="minorEastAsia" w:cstheme="minorEastAsia"/>
          <w:b/>
          <w:bCs/>
          <w:color w:val="333333"/>
          <w:sz w:val="28"/>
          <w:szCs w:val="28"/>
          <w:shd w:val="clear" w:color="auto" w:fill="FFFFFF"/>
        </w:rPr>
        <w:t>工作机遇</w:t>
      </w:r>
      <w:r>
        <w:rPr>
          <w:rFonts w:hint="eastAsia" w:asciiTheme="minorEastAsia" w:hAnsiTheme="minorEastAsia" w:cstheme="minorEastAsia"/>
          <w:color w:val="333333"/>
          <w:sz w:val="28"/>
          <w:szCs w:val="28"/>
          <w:shd w:val="clear" w:color="auto" w:fill="FFFFFF"/>
        </w:rPr>
        <w:t>；吉林省委十一届九次全会确立建设生态强省战略，提出着力打造更高质量的生态经济发展体系、更高水平的生态环境保护体系、更加稳固的生态安全体系、更加完备的生态文明制度体系，并对全面改善水生态环境质量提出了具体要求，为加强“十四五”水生态环境保护提供了良好的</w:t>
      </w:r>
      <w:r>
        <w:rPr>
          <w:rFonts w:hint="eastAsia" w:asciiTheme="minorEastAsia" w:hAnsiTheme="minorEastAsia" w:cstheme="minorEastAsia"/>
          <w:b/>
          <w:bCs/>
          <w:color w:val="333333"/>
          <w:sz w:val="28"/>
          <w:szCs w:val="28"/>
          <w:shd w:val="clear" w:color="auto" w:fill="FFFFFF"/>
        </w:rPr>
        <w:t>战略机遇</w:t>
      </w:r>
      <w:r>
        <w:rPr>
          <w:rFonts w:hint="eastAsia" w:asciiTheme="minorEastAsia" w:hAnsiTheme="minorEastAsia" w:cstheme="minorEastAsia"/>
          <w:color w:val="333333"/>
          <w:sz w:val="28"/>
          <w:szCs w:val="28"/>
          <w:shd w:val="clear" w:color="auto" w:fill="FFFFFF"/>
        </w:rPr>
        <w:t>。</w:t>
      </w:r>
    </w:p>
    <w:p>
      <w:pPr>
        <w:spacing w:line="576"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在充分认识水生态环境保护大好机遇的同时，还应清醒认识，水生态环境保护面临结构性、根源性、趋势性压力尚未根本缓解，全</w:t>
      </w:r>
      <w:r>
        <w:rPr>
          <w:rFonts w:hint="eastAsia" w:asciiTheme="minorEastAsia" w:hAnsiTheme="minorEastAsia" w:cstheme="minorEastAsia"/>
          <w:color w:val="333333"/>
          <w:sz w:val="28"/>
          <w:szCs w:val="28"/>
          <w:shd w:val="clear" w:color="auto" w:fill="FFFFFF"/>
          <w:lang w:eastAsia="zh-CN"/>
        </w:rPr>
        <w:t>市</w:t>
      </w:r>
      <w:r>
        <w:rPr>
          <w:rFonts w:hint="eastAsia" w:asciiTheme="minorEastAsia" w:hAnsiTheme="minorEastAsia" w:cstheme="minorEastAsia"/>
          <w:color w:val="333333"/>
          <w:sz w:val="28"/>
          <w:szCs w:val="28"/>
          <w:shd w:val="clear" w:color="auto" w:fill="FFFFFF"/>
        </w:rPr>
        <w:t>水生态环境保护工作仍任重道远。生态强省建设对水生态环境保护提出了新的要求，如何为全</w:t>
      </w:r>
      <w:r>
        <w:rPr>
          <w:rFonts w:hint="eastAsia" w:asciiTheme="minorEastAsia" w:hAnsiTheme="minorEastAsia" w:cstheme="minorEastAsia"/>
          <w:color w:val="333333"/>
          <w:sz w:val="28"/>
          <w:szCs w:val="28"/>
          <w:shd w:val="clear" w:color="auto" w:fill="FFFFFF"/>
          <w:lang w:eastAsia="zh-CN"/>
        </w:rPr>
        <w:t>市</w:t>
      </w:r>
      <w:r>
        <w:rPr>
          <w:rFonts w:hint="eastAsia" w:asciiTheme="minorEastAsia" w:hAnsiTheme="minorEastAsia" w:cstheme="minorEastAsia"/>
          <w:color w:val="333333"/>
          <w:sz w:val="28"/>
          <w:szCs w:val="28"/>
          <w:shd w:val="clear" w:color="auto" w:fill="FFFFFF"/>
        </w:rPr>
        <w:t>人民提供持久水安全、优质水资源、健康水生态、宜居水环境，是全</w:t>
      </w:r>
      <w:r>
        <w:rPr>
          <w:rFonts w:hint="eastAsia" w:asciiTheme="minorEastAsia" w:hAnsiTheme="minorEastAsia" w:cstheme="minorEastAsia"/>
          <w:color w:val="333333"/>
          <w:sz w:val="28"/>
          <w:szCs w:val="28"/>
          <w:shd w:val="clear" w:color="auto" w:fill="FFFFFF"/>
          <w:lang w:eastAsia="zh-CN"/>
        </w:rPr>
        <w:t>市</w:t>
      </w:r>
      <w:r>
        <w:rPr>
          <w:rFonts w:hint="eastAsia" w:asciiTheme="minorEastAsia" w:hAnsiTheme="minorEastAsia" w:cstheme="minorEastAsia"/>
          <w:color w:val="333333"/>
          <w:sz w:val="28"/>
          <w:szCs w:val="28"/>
          <w:shd w:val="clear" w:color="auto" w:fill="FFFFFF"/>
        </w:rPr>
        <w:t>水生态环境保护</w:t>
      </w:r>
      <w:r>
        <w:rPr>
          <w:rFonts w:hint="eastAsia" w:asciiTheme="minorEastAsia" w:hAnsiTheme="minorEastAsia" w:cstheme="minorEastAsia"/>
          <w:b w:val="0"/>
          <w:bCs w:val="0"/>
          <w:color w:val="333333"/>
          <w:sz w:val="28"/>
          <w:szCs w:val="28"/>
          <w:shd w:val="clear" w:color="auto" w:fill="FFFFFF"/>
        </w:rPr>
        <w:t>面临的</w:t>
      </w:r>
      <w:r>
        <w:rPr>
          <w:rFonts w:hint="eastAsia" w:asciiTheme="minorEastAsia" w:hAnsiTheme="minorEastAsia" w:cstheme="minorEastAsia"/>
          <w:b/>
          <w:bCs/>
          <w:color w:val="333333"/>
          <w:sz w:val="28"/>
          <w:szCs w:val="28"/>
          <w:shd w:val="clear" w:color="auto" w:fill="FFFFFF"/>
          <w:lang w:eastAsia="zh-CN"/>
        </w:rPr>
        <w:t>新任务</w:t>
      </w:r>
      <w:r>
        <w:rPr>
          <w:rFonts w:hint="eastAsia" w:asciiTheme="minorEastAsia" w:hAnsiTheme="minorEastAsia" w:cstheme="minorEastAsia"/>
          <w:color w:val="333333"/>
          <w:sz w:val="28"/>
          <w:szCs w:val="28"/>
          <w:shd w:val="clear" w:color="auto" w:fill="FFFFFF"/>
        </w:rPr>
        <w:t>。“十四五”期间，国家扩大了水环境考核领域，增加了4项亲民指标，如何确保全面完成国家确定的水环境质量考核目标，是“十四五”全</w:t>
      </w:r>
      <w:r>
        <w:rPr>
          <w:rFonts w:hint="eastAsia" w:asciiTheme="minorEastAsia" w:hAnsiTheme="minorEastAsia" w:cstheme="minorEastAsia"/>
          <w:color w:val="333333"/>
          <w:sz w:val="28"/>
          <w:szCs w:val="28"/>
          <w:shd w:val="clear" w:color="auto" w:fill="FFFFFF"/>
          <w:lang w:eastAsia="zh-CN"/>
        </w:rPr>
        <w:t>市</w:t>
      </w:r>
      <w:r>
        <w:rPr>
          <w:rFonts w:hint="eastAsia" w:asciiTheme="minorEastAsia" w:hAnsiTheme="minorEastAsia" w:cstheme="minorEastAsia"/>
          <w:color w:val="333333"/>
          <w:sz w:val="28"/>
          <w:szCs w:val="28"/>
          <w:shd w:val="clear" w:color="auto" w:fill="FFFFFF"/>
        </w:rPr>
        <w:t>水生态环境保护面临的</w:t>
      </w:r>
      <w:r>
        <w:rPr>
          <w:rFonts w:hint="eastAsia" w:asciiTheme="minorEastAsia" w:hAnsiTheme="minorEastAsia" w:cstheme="minorEastAsia"/>
          <w:b/>
          <w:bCs/>
          <w:color w:val="333333"/>
          <w:sz w:val="28"/>
          <w:szCs w:val="28"/>
          <w:shd w:val="clear" w:color="auto" w:fill="FFFFFF"/>
        </w:rPr>
        <w:t>新考验</w:t>
      </w:r>
      <w:r>
        <w:rPr>
          <w:rFonts w:hint="eastAsia" w:asciiTheme="minorEastAsia" w:hAnsiTheme="minorEastAsia" w:cstheme="minorEastAsia"/>
          <w:color w:val="333333"/>
          <w:sz w:val="28"/>
          <w:szCs w:val="28"/>
          <w:shd w:val="clear" w:color="auto" w:fill="FFFFFF"/>
        </w:rPr>
        <w:t>。水环境质量总体还不够稳定，部分支流水质处于水质目标的临界值，稍有不慎就会出现反弹，如何确保水质长期稳定达标，是“十四五”水生态环境保护面临的</w:t>
      </w:r>
      <w:r>
        <w:rPr>
          <w:rFonts w:hint="eastAsia" w:asciiTheme="minorEastAsia" w:hAnsiTheme="minorEastAsia" w:cstheme="minorEastAsia"/>
          <w:b/>
          <w:bCs/>
          <w:color w:val="333333"/>
          <w:sz w:val="28"/>
          <w:szCs w:val="28"/>
          <w:shd w:val="clear" w:color="auto" w:fill="FFFFFF"/>
        </w:rPr>
        <w:t>新课题</w:t>
      </w:r>
      <w:r>
        <w:rPr>
          <w:rFonts w:hint="eastAsia" w:asciiTheme="minorEastAsia" w:hAnsiTheme="minorEastAsia" w:cstheme="minorEastAsia"/>
          <w:color w:val="333333"/>
          <w:sz w:val="28"/>
          <w:szCs w:val="28"/>
          <w:shd w:val="clear" w:color="auto" w:fill="FFFFFF"/>
        </w:rPr>
        <w:t>。</w:t>
      </w:r>
    </w:p>
    <w:p>
      <w:pPr>
        <w:spacing w:line="576" w:lineRule="exact"/>
        <w:ind w:firstLine="560" w:firstLineChars="200"/>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从我</w:t>
      </w:r>
      <w:r>
        <w:rPr>
          <w:rFonts w:hint="eastAsia" w:asciiTheme="minorEastAsia" w:hAnsiTheme="minorEastAsia" w:cstheme="minorEastAsia"/>
          <w:color w:val="333333"/>
          <w:sz w:val="28"/>
          <w:szCs w:val="28"/>
          <w:shd w:val="clear" w:color="auto" w:fill="FFFFFF"/>
          <w:lang w:eastAsia="zh-CN"/>
        </w:rPr>
        <w:t>市</w:t>
      </w:r>
      <w:r>
        <w:rPr>
          <w:rFonts w:hint="eastAsia" w:asciiTheme="minorEastAsia" w:hAnsiTheme="minorEastAsia" w:cstheme="minorEastAsia"/>
          <w:color w:val="333333"/>
          <w:sz w:val="28"/>
          <w:szCs w:val="28"/>
          <w:shd w:val="clear" w:color="auto" w:fill="FFFFFF"/>
        </w:rPr>
        <w:t>水</w:t>
      </w:r>
      <w:r>
        <w:rPr>
          <w:rFonts w:hint="eastAsia" w:asciiTheme="minorEastAsia" w:hAnsiTheme="minorEastAsia" w:cstheme="minorEastAsia"/>
          <w:color w:val="333333"/>
          <w:sz w:val="28"/>
          <w:szCs w:val="28"/>
          <w:shd w:val="clear" w:color="auto" w:fill="FFFFFF"/>
          <w:lang w:eastAsia="zh-CN"/>
        </w:rPr>
        <w:t>环境现状</w:t>
      </w:r>
      <w:r>
        <w:rPr>
          <w:rFonts w:hint="eastAsia" w:asciiTheme="minorEastAsia" w:hAnsiTheme="minorEastAsia" w:cstheme="minorEastAsia"/>
          <w:color w:val="333333"/>
          <w:sz w:val="28"/>
          <w:szCs w:val="28"/>
          <w:shd w:val="clear" w:color="auto" w:fill="FFFFFF"/>
        </w:rPr>
        <w:t>来看，</w:t>
      </w:r>
      <w:r>
        <w:rPr>
          <w:rFonts w:hint="eastAsia" w:asciiTheme="minorEastAsia" w:hAnsiTheme="minorEastAsia" w:cstheme="minorEastAsia"/>
          <w:color w:val="333333"/>
          <w:sz w:val="28"/>
          <w:szCs w:val="28"/>
          <w:shd w:val="clear" w:color="auto" w:fill="FFFFFF"/>
          <w:lang w:eastAsia="zh-CN"/>
        </w:rPr>
        <w:t>水生态环境还存在以下问题</w:t>
      </w:r>
      <w:r>
        <w:rPr>
          <w:rFonts w:hint="eastAsia" w:asciiTheme="minorEastAsia" w:hAnsiTheme="minorEastAsia" w:cstheme="minorEastAsia"/>
          <w:color w:val="333333"/>
          <w:sz w:val="28"/>
          <w:szCs w:val="28"/>
          <w:shd w:val="clear" w:color="auto" w:fill="FFFFFF"/>
        </w:rPr>
        <w:t>：</w:t>
      </w:r>
    </w:p>
    <w:p>
      <w:pPr>
        <w:spacing w:line="576" w:lineRule="exact"/>
        <w:ind w:firstLine="562" w:firstLineChars="200"/>
        <w:rPr>
          <w:rFonts w:hint="eastAsia" w:ascii="楷体_GB2312" w:hAnsi="楷体_GB2312" w:eastAsia="楷体_GB2312" w:cs="楷体_GB2312"/>
          <w:b/>
          <w:bCs/>
          <w:color w:val="333333"/>
          <w:sz w:val="28"/>
          <w:szCs w:val="28"/>
          <w:shd w:val="clear" w:color="auto" w:fill="FFFFFF"/>
          <w:lang w:eastAsia="zh-CN"/>
        </w:rPr>
      </w:pPr>
      <w:r>
        <w:rPr>
          <w:rFonts w:hint="eastAsia" w:ascii="楷体_GB2312" w:hAnsi="楷体_GB2312" w:eastAsia="楷体_GB2312" w:cs="楷体_GB2312"/>
          <w:b/>
          <w:bCs/>
          <w:color w:val="333333"/>
          <w:sz w:val="28"/>
          <w:szCs w:val="28"/>
          <w:shd w:val="clear" w:color="auto" w:fill="FFFFFF"/>
          <w:lang w:eastAsia="zh-CN"/>
        </w:rPr>
        <w:t>（一）水环境问题</w:t>
      </w:r>
    </w:p>
    <w:p>
      <w:pPr>
        <w:keepLines w:val="0"/>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松花湖氮磷污染</w:t>
      </w:r>
      <w:r>
        <w:rPr>
          <w:rFonts w:hint="eastAsia" w:asciiTheme="minorEastAsia" w:hAnsiTheme="minorEastAsia" w:cstheme="minorEastAsia"/>
          <w:color w:val="333333"/>
          <w:sz w:val="28"/>
          <w:szCs w:val="28"/>
          <w:shd w:val="clear" w:color="auto" w:fill="FFFFFF"/>
          <w:lang w:eastAsia="zh-CN"/>
        </w:rPr>
        <w:t>问题。</w:t>
      </w:r>
      <w:r>
        <w:rPr>
          <w:rFonts w:hint="eastAsia" w:asciiTheme="minorEastAsia" w:hAnsiTheme="minorEastAsia" w:cstheme="minorEastAsia"/>
          <w:color w:val="333333"/>
          <w:sz w:val="28"/>
          <w:szCs w:val="28"/>
          <w:shd w:val="clear" w:color="auto" w:fill="FFFFFF"/>
        </w:rPr>
        <w:t>松花湖设有4个国控断面，由上游至下游依次为桦树林、小荒地、沙石浒、大丰满，多年监测数据结果显示，除总氮（不考核）、总磷指标外，其他指标均能满足Ⅲ类良好水体标准，其中总氮指标在1.7-2.0mg/L之间波动，总磷指标在0.04-0.06mg/L之间波动，不能稳定达标。</w:t>
      </w:r>
    </w:p>
    <w:p>
      <w:pPr>
        <w:keepLines w:val="0"/>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松花湖氮磷污染主要为上游来水及农业农村面源污染导致。从201</w:t>
      </w:r>
      <w:r>
        <w:rPr>
          <w:rFonts w:hint="eastAsia" w:asciiTheme="minorEastAsia" w:hAnsiTheme="minorEastAsia" w:cstheme="minorEastAsia"/>
          <w:color w:val="333333"/>
          <w:sz w:val="28"/>
          <w:szCs w:val="28"/>
          <w:shd w:val="clear" w:color="auto" w:fill="FFFFFF"/>
          <w:lang w:val="en-US" w:eastAsia="zh-CN"/>
        </w:rPr>
        <w:t>6</w:t>
      </w:r>
      <w:r>
        <w:rPr>
          <w:rFonts w:hint="eastAsia" w:asciiTheme="minorEastAsia" w:hAnsiTheme="minorEastAsia" w:cstheme="minorEastAsia"/>
          <w:color w:val="333333"/>
          <w:sz w:val="28"/>
          <w:szCs w:val="28"/>
          <w:shd w:val="clear" w:color="auto" w:fill="FFFFFF"/>
        </w:rPr>
        <w:t>-2020年数据分析，松花湖上游的松花江干流、辉发河、蛟河总磷入湖平均浓度为0.049-0.144mg/L，支流污染是造成湖区超标的主要原因</w:t>
      </w:r>
      <w:r>
        <w:rPr>
          <w:rFonts w:hint="eastAsia" w:asciiTheme="minorEastAsia" w:hAnsiTheme="minorEastAsia" w:cstheme="minorEastAsia"/>
          <w:color w:val="333333"/>
          <w:sz w:val="28"/>
          <w:szCs w:val="28"/>
          <w:shd w:val="clear" w:color="auto" w:fill="FFFFFF"/>
          <w:lang w:eastAsia="zh-CN"/>
        </w:rPr>
        <w:t>，</w:t>
      </w:r>
      <w:r>
        <w:rPr>
          <w:rFonts w:hint="eastAsia" w:asciiTheme="minorEastAsia" w:hAnsiTheme="minorEastAsia" w:cstheme="minorEastAsia"/>
          <w:color w:val="333333"/>
          <w:sz w:val="28"/>
          <w:szCs w:val="28"/>
          <w:shd w:val="clear" w:color="auto" w:fill="FFFFFF"/>
        </w:rPr>
        <w:t>同时，松花湖流域汇水范围内耕地面积较大，未完全利用的化肥农药随地表径流排入湖中造成污染。</w:t>
      </w:r>
    </w:p>
    <w:p>
      <w:pPr>
        <w:spacing w:line="576" w:lineRule="exact"/>
        <w:ind w:firstLine="562" w:firstLineChars="200"/>
        <w:rPr>
          <w:rFonts w:hint="eastAsia" w:ascii="楷体_GB2312" w:hAnsi="楷体_GB2312" w:eastAsia="楷体_GB2312" w:cs="楷体_GB2312"/>
          <w:b/>
          <w:bCs/>
          <w:color w:val="333333"/>
          <w:sz w:val="28"/>
          <w:szCs w:val="28"/>
          <w:shd w:val="clear" w:color="auto" w:fill="FFFFFF"/>
          <w:lang w:val="en-US" w:eastAsia="zh-CN"/>
        </w:rPr>
      </w:pPr>
      <w:r>
        <w:rPr>
          <w:rFonts w:hint="eastAsia" w:ascii="楷体_GB2312" w:hAnsi="楷体_GB2312" w:eastAsia="楷体_GB2312" w:cs="楷体_GB2312"/>
          <w:b/>
          <w:bCs/>
          <w:color w:val="333333"/>
          <w:sz w:val="28"/>
          <w:szCs w:val="28"/>
          <w:shd w:val="clear" w:color="auto" w:fill="FFFFFF"/>
          <w:lang w:val="en-US" w:eastAsia="zh-CN"/>
        </w:rPr>
        <w:t>（二）水生态问题</w:t>
      </w:r>
    </w:p>
    <w:p>
      <w:pPr>
        <w:keepLines w:val="0"/>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松花湖岸线生态破坏较为严重，多年来历史形成的土地开垦和耕种造成沿岸植被破坏和水土流失。虽然2016年以来，</w:t>
      </w:r>
      <w:r>
        <w:rPr>
          <w:rFonts w:hint="eastAsia" w:asciiTheme="minorEastAsia" w:hAnsiTheme="minorEastAsia" w:cstheme="minorEastAsia"/>
          <w:color w:val="333333"/>
          <w:sz w:val="28"/>
          <w:szCs w:val="28"/>
          <w:shd w:val="clear" w:color="auto" w:fill="FFFFFF"/>
          <w:lang w:eastAsia="zh-CN"/>
        </w:rPr>
        <w:t>我市</w:t>
      </w:r>
      <w:r>
        <w:rPr>
          <w:rFonts w:hint="eastAsia" w:asciiTheme="minorEastAsia" w:hAnsiTheme="minorEastAsia" w:cstheme="minorEastAsia"/>
          <w:color w:val="333333"/>
          <w:sz w:val="28"/>
          <w:szCs w:val="28"/>
          <w:shd w:val="clear" w:color="auto" w:fill="FFFFFF"/>
        </w:rPr>
        <w:t>采取了湖面区水淹地禁止耕种措施，累计禁止耕种农田面积约</w:t>
      </w:r>
      <w:r>
        <w:rPr>
          <w:rFonts w:hint="eastAsia" w:asciiTheme="minorEastAsia" w:hAnsiTheme="minorEastAsia" w:cstheme="minorEastAsia"/>
          <w:color w:val="333333"/>
          <w:sz w:val="28"/>
          <w:szCs w:val="28"/>
          <w:shd w:val="clear" w:color="auto" w:fill="FFFFFF"/>
          <w:lang w:val="en-US" w:eastAsia="zh-CN"/>
        </w:rPr>
        <w:t>4</w:t>
      </w:r>
      <w:r>
        <w:rPr>
          <w:rFonts w:hint="eastAsia" w:asciiTheme="minorEastAsia" w:hAnsiTheme="minorEastAsia" w:cstheme="minorEastAsia"/>
          <w:color w:val="333333"/>
          <w:sz w:val="28"/>
          <w:szCs w:val="28"/>
          <w:shd w:val="clear" w:color="auto" w:fill="FFFFFF"/>
        </w:rPr>
        <w:t>000hm</w:t>
      </w:r>
      <w:r>
        <w:rPr>
          <w:rFonts w:hint="eastAsia" w:asciiTheme="minorEastAsia" w:hAnsiTheme="minorEastAsia" w:cstheme="minorEastAsia"/>
          <w:color w:val="333333"/>
          <w:sz w:val="28"/>
          <w:szCs w:val="28"/>
          <w:shd w:val="clear" w:color="auto" w:fill="FFFFFF"/>
          <w:vertAlign w:val="superscript"/>
          <w:lang w:val="en-US" w:eastAsia="zh-CN"/>
        </w:rPr>
        <w:t>2</w:t>
      </w:r>
      <w:r>
        <w:rPr>
          <w:rFonts w:hint="eastAsia" w:asciiTheme="minorEastAsia" w:hAnsiTheme="minorEastAsia" w:cstheme="minorEastAsia"/>
          <w:color w:val="333333"/>
          <w:sz w:val="28"/>
          <w:szCs w:val="28"/>
          <w:shd w:val="clear" w:color="auto" w:fill="FFFFFF"/>
        </w:rPr>
        <w:t>，采取退耕还林还草措施，恢复局部生态，但目前松花湖</w:t>
      </w:r>
      <w:r>
        <w:rPr>
          <w:rFonts w:hint="eastAsia" w:asciiTheme="minorEastAsia" w:hAnsiTheme="minorEastAsia" w:cstheme="minorEastAsia"/>
          <w:color w:val="333333"/>
          <w:sz w:val="28"/>
          <w:szCs w:val="28"/>
          <w:shd w:val="clear" w:color="auto" w:fill="FFFFFF"/>
          <w:lang w:eastAsia="zh-CN"/>
        </w:rPr>
        <w:t>仍有部分</w:t>
      </w:r>
      <w:r>
        <w:rPr>
          <w:rFonts w:hint="eastAsia" w:asciiTheme="minorEastAsia" w:hAnsiTheme="minorEastAsia" w:cstheme="minorEastAsia"/>
          <w:color w:val="333333"/>
          <w:sz w:val="28"/>
          <w:szCs w:val="28"/>
          <w:shd w:val="clear" w:color="auto" w:fill="FFFFFF"/>
        </w:rPr>
        <w:t>岸线紧临耕种的农田，河口天然湿地面积萎缩，缺少生态缓冲带，没有生态隔离措施，农田耕种和土地开发利用，导致水土流失加剧。201</w:t>
      </w:r>
      <w:r>
        <w:rPr>
          <w:rFonts w:hint="eastAsia" w:asciiTheme="minorEastAsia" w:hAnsiTheme="minorEastAsia" w:cstheme="minorEastAsia"/>
          <w:color w:val="333333"/>
          <w:sz w:val="28"/>
          <w:szCs w:val="28"/>
          <w:shd w:val="clear" w:color="auto" w:fill="FFFFFF"/>
          <w:lang w:val="en-US" w:eastAsia="zh-CN"/>
        </w:rPr>
        <w:t>6</w:t>
      </w:r>
      <w:r>
        <w:rPr>
          <w:rFonts w:hint="eastAsia" w:asciiTheme="minorEastAsia" w:hAnsiTheme="minorEastAsia" w:cstheme="minorEastAsia"/>
          <w:color w:val="333333"/>
          <w:sz w:val="28"/>
          <w:szCs w:val="28"/>
          <w:shd w:val="clear" w:color="auto" w:fill="FFFFFF"/>
        </w:rPr>
        <w:t>年～20</w:t>
      </w:r>
      <w:r>
        <w:rPr>
          <w:rFonts w:hint="eastAsia" w:asciiTheme="minorEastAsia" w:hAnsiTheme="minorEastAsia" w:cstheme="minorEastAsia"/>
          <w:color w:val="333333"/>
          <w:sz w:val="28"/>
          <w:szCs w:val="28"/>
          <w:shd w:val="clear" w:color="auto" w:fill="FFFFFF"/>
          <w:lang w:val="en-US" w:eastAsia="zh-CN"/>
        </w:rPr>
        <w:t>20</w:t>
      </w:r>
      <w:r>
        <w:rPr>
          <w:rFonts w:hint="eastAsia" w:asciiTheme="minorEastAsia" w:hAnsiTheme="minorEastAsia" w:cstheme="minorEastAsia"/>
          <w:color w:val="333333"/>
          <w:sz w:val="28"/>
          <w:szCs w:val="28"/>
          <w:shd w:val="clear" w:color="auto" w:fill="FFFFFF"/>
        </w:rPr>
        <w:t>年松花湖，各监测断面叶绿素a和富营养化指数总体呈下降趋势，水体中营养。</w:t>
      </w:r>
    </w:p>
    <w:p>
      <w:pPr>
        <w:spacing w:line="576" w:lineRule="exact"/>
        <w:ind w:firstLine="562" w:firstLineChars="200"/>
        <w:rPr>
          <w:rFonts w:hint="eastAsia" w:ascii="楷体_GB2312" w:hAnsi="楷体_GB2312" w:eastAsia="楷体_GB2312" w:cs="楷体_GB2312"/>
          <w:b/>
          <w:bCs/>
          <w:color w:val="333333"/>
          <w:sz w:val="28"/>
          <w:szCs w:val="28"/>
          <w:shd w:val="clear" w:color="auto" w:fill="FFFFFF"/>
          <w:lang w:eastAsia="zh-CN"/>
        </w:rPr>
      </w:pPr>
      <w:r>
        <w:rPr>
          <w:rFonts w:hint="eastAsia" w:ascii="楷体_GB2312" w:hAnsi="楷体_GB2312" w:eastAsia="楷体_GB2312" w:cs="楷体_GB2312"/>
          <w:b/>
          <w:bCs/>
          <w:color w:val="333333"/>
          <w:sz w:val="28"/>
          <w:szCs w:val="28"/>
          <w:shd w:val="clear" w:color="auto" w:fill="FFFFFF"/>
          <w:lang w:eastAsia="zh-CN"/>
        </w:rPr>
        <w:t>（三）水环境风险问题</w:t>
      </w:r>
    </w:p>
    <w:p>
      <w:pPr>
        <w:pStyle w:val="21"/>
        <w:numPr>
          <w:ilvl w:val="0"/>
          <w:numId w:val="0"/>
        </w:numPr>
        <w:ind w:firstLine="560" w:firstLineChars="200"/>
        <w:rPr>
          <w:rFonts w:hint="eastAsia" w:ascii="宋体" w:hAnsi="宋体" w:cs="宋体"/>
          <w:bCs/>
          <w:sz w:val="28"/>
          <w:szCs w:val="28"/>
          <w:lang w:val="en-US" w:eastAsia="zh-CN"/>
        </w:rPr>
      </w:pPr>
      <w:r>
        <w:rPr>
          <w:rFonts w:hint="eastAsia" w:asciiTheme="minorEastAsia" w:hAnsiTheme="minorEastAsia" w:eastAsiaTheme="minorEastAsia" w:cstheme="minorEastAsia"/>
          <w:color w:val="333333"/>
          <w:kern w:val="2"/>
          <w:sz w:val="28"/>
          <w:szCs w:val="28"/>
          <w:shd w:val="clear" w:color="auto" w:fill="FFFFFF"/>
          <w:lang w:val="en-US" w:eastAsia="zh-CN" w:bidi="ar-SA"/>
        </w:rPr>
        <w:t>位于蛟河支流义气河上的团山子水库水源地为2018年新建蛟河市饮用水水源地，2018年至今水质为Ⅳ类，超标因子为高猛酸盐指数和总磷。团山子水库所在地腐殖质、草炭土等物质较多，总磷及高锰酸盐指数本底值较高造成超标，存在累积性风险。</w:t>
      </w:r>
    </w:p>
    <w:p>
      <w:pPr>
        <w:pStyle w:val="3"/>
        <w:adjustRightInd w:val="0"/>
        <w:spacing w:beforeLines="100" w:afterLines="100" w:line="600" w:lineRule="exact"/>
        <w:ind w:left="0" w:leftChars="0"/>
        <w:jc w:val="center"/>
        <w:outlineLvl w:val="0"/>
        <w:rPr>
          <w:rFonts w:hint="eastAsia" w:ascii="黑体" w:hAnsi="黑体" w:eastAsia="黑体" w:cs="Times New Roman"/>
          <w:sz w:val="44"/>
          <w:szCs w:val="44"/>
          <w:lang w:val="en-US" w:eastAsia="zh-CN"/>
        </w:rPr>
      </w:pPr>
    </w:p>
    <w:p>
      <w:pPr>
        <w:pStyle w:val="3"/>
        <w:adjustRightInd w:val="0"/>
        <w:spacing w:beforeLines="100" w:afterLines="100" w:line="600" w:lineRule="exact"/>
        <w:ind w:left="0" w:leftChars="0"/>
        <w:jc w:val="center"/>
        <w:outlineLvl w:val="0"/>
        <w:rPr>
          <w:rFonts w:hint="eastAsia" w:ascii="黑体" w:hAnsi="黑体" w:eastAsia="黑体" w:cs="Times New Roman"/>
          <w:sz w:val="44"/>
          <w:szCs w:val="44"/>
        </w:rPr>
      </w:pPr>
      <w:bookmarkStart w:id="5" w:name="_Toc31754"/>
      <w:r>
        <w:rPr>
          <w:rFonts w:hint="eastAsia" w:ascii="黑体" w:hAnsi="黑体" w:eastAsia="黑体" w:cs="Times New Roman"/>
          <w:sz w:val="44"/>
          <w:szCs w:val="44"/>
          <w:lang w:val="en-US" w:eastAsia="zh-CN"/>
        </w:rPr>
        <w:t>第二章 总体要求</w:t>
      </w:r>
      <w:bookmarkEnd w:id="2"/>
      <w:bookmarkEnd w:id="5"/>
    </w:p>
    <w:p>
      <w:pPr>
        <w:pStyle w:val="21"/>
        <w:numPr>
          <w:ilvl w:val="0"/>
          <w:numId w:val="0"/>
        </w:numPr>
        <w:ind w:firstLine="560" w:firstLineChars="200"/>
        <w:rPr>
          <w:rFonts w:hint="eastAsia" w:asciiTheme="minorEastAsia" w:hAnsiTheme="minorEastAsia" w:eastAsiaTheme="minorEastAsia" w:cstheme="minorEastAsia"/>
          <w:color w:val="333333"/>
          <w:kern w:val="2"/>
          <w:sz w:val="28"/>
          <w:szCs w:val="28"/>
          <w:shd w:val="clear" w:color="auto" w:fill="FFFFFF"/>
          <w:lang w:val="en-US" w:eastAsia="zh-CN" w:bidi="ar-SA"/>
        </w:rPr>
      </w:pPr>
      <w:bookmarkStart w:id="6" w:name="_Toc2258"/>
      <w:r>
        <w:rPr>
          <w:rFonts w:hint="eastAsia" w:asciiTheme="minorEastAsia" w:hAnsiTheme="minorEastAsia" w:eastAsiaTheme="minorEastAsia" w:cstheme="minorEastAsia"/>
          <w:color w:val="333333"/>
          <w:kern w:val="2"/>
          <w:sz w:val="28"/>
          <w:szCs w:val="28"/>
          <w:shd w:val="clear" w:color="auto" w:fill="FFFFFF"/>
          <w:lang w:val="en-US" w:eastAsia="zh-CN" w:bidi="ar-SA"/>
        </w:rPr>
        <w:t>贯彻落实习近平生态文明思想和新发展理念，坚持以人为本、绿色发展、系统治理、分类施策、多元共治，系统谋划、科学确立水生态环境保护目标，积极回应人民群众新期待，让水生态环境质量改善给人民群众带来更多、更实在的幸福感。</w:t>
      </w:r>
      <w:bookmarkEnd w:id="6"/>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7" w:name="_Toc1528"/>
      <w:r>
        <w:rPr>
          <w:rFonts w:hint="eastAsia" w:ascii="黑体" w:hAnsi="黑体" w:eastAsia="黑体" w:cs="黑体"/>
          <w:color w:val="333333"/>
          <w:sz w:val="28"/>
          <w:szCs w:val="28"/>
          <w:shd w:val="clear" w:color="auto" w:fill="FFFFFF"/>
          <w:lang w:val="en-US" w:eastAsia="zh-CN"/>
        </w:rPr>
        <w:t>一、指导思想</w:t>
      </w:r>
      <w:bookmarkEnd w:id="7"/>
    </w:p>
    <w:p>
      <w:pPr>
        <w:pStyle w:val="21"/>
        <w:ind w:left="0" w:leftChars="0" w:firstLine="560" w:firstLineChars="200"/>
        <w:rPr>
          <w:rFonts w:hint="eastAsia"/>
        </w:rPr>
      </w:pPr>
      <w:r>
        <w:rPr>
          <w:rFonts w:hint="eastAsia" w:ascii="宋体" w:hAnsi="宋体" w:cs="宋体" w:eastAsiaTheme="minorEastAsia"/>
          <w:bCs/>
          <w:kern w:val="2"/>
          <w:sz w:val="28"/>
          <w:szCs w:val="28"/>
          <w:lang w:val="en-US" w:eastAsia="zh-CN" w:bidi="ar-SA"/>
        </w:rPr>
        <w:t>高举中国特色社会主义伟大旗帜，深入贯彻党的十九大和十九届二中、三中、四中、五中全会精神，以习近平生态文明思想为指导，全面落实习近平总书记关于东北振兴和视察吉林省的重要指示精神，科学把握新发展阶段，深入贯彻新发展理念，加快构建新发展格局，“十四五”期间以建设美丽蛟河为目标，全过程实施“三水统筹”，在生态惠民利民为民、不断满足人们日益增长的优美生态环境需要上展现新作为，为到二〇三五年实现生态环境根本好转开好局、起好步、奠定坚实的基础。</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8" w:name="_Toc3597"/>
      <w:r>
        <w:rPr>
          <w:rFonts w:hint="eastAsia" w:ascii="黑体" w:hAnsi="黑体" w:eastAsia="黑体" w:cs="黑体"/>
          <w:color w:val="333333"/>
          <w:sz w:val="28"/>
          <w:szCs w:val="28"/>
          <w:shd w:val="clear" w:color="auto" w:fill="FFFFFF"/>
          <w:lang w:val="en-US" w:eastAsia="zh-CN"/>
        </w:rPr>
        <w:t>二、基本原则</w:t>
      </w:r>
      <w:bookmarkEnd w:id="8"/>
    </w:p>
    <w:p>
      <w:pPr>
        <w:pStyle w:val="21"/>
        <w:ind w:left="0" w:leftChars="0" w:firstLine="562" w:firstLineChars="200"/>
        <w:rPr>
          <w:rFonts w:hint="eastAsia" w:ascii="宋体" w:hAnsi="宋体" w:cs="宋体" w:eastAsiaTheme="minorEastAsia"/>
          <w:bCs/>
          <w:kern w:val="2"/>
          <w:sz w:val="28"/>
          <w:szCs w:val="28"/>
          <w:lang w:val="en-US" w:eastAsia="zh-CN" w:bidi="ar-SA"/>
        </w:rPr>
      </w:pPr>
      <w:r>
        <w:rPr>
          <w:rFonts w:hint="eastAsia" w:ascii="楷体_GB2312" w:hAnsi="楷体_GB2312" w:eastAsia="楷体_GB2312" w:cs="楷体_GB2312"/>
          <w:b/>
          <w:bCs w:val="0"/>
          <w:kern w:val="2"/>
          <w:sz w:val="28"/>
          <w:szCs w:val="28"/>
          <w:lang w:val="en-US" w:eastAsia="zh-CN" w:bidi="ar-SA"/>
        </w:rPr>
        <w:t>坚持新发展理念，推动绿色发展。</w:t>
      </w:r>
      <w:r>
        <w:rPr>
          <w:rFonts w:hint="eastAsia" w:ascii="宋体" w:hAnsi="宋体" w:cs="宋体" w:eastAsiaTheme="minorEastAsia"/>
          <w:bCs/>
          <w:kern w:val="2"/>
          <w:sz w:val="28"/>
          <w:szCs w:val="28"/>
          <w:lang w:val="en-US" w:eastAsia="zh-CN" w:bidi="ar-SA"/>
        </w:rPr>
        <w:t>坚持绿色发展不动摇，牢固树立绿水青山就是金山银山的理念，正确处理生态环境保护和经济社会发展的关系，用绿水青山支撑绿色发展，用绿色发展保护绿水青山，做大金山银山，促进经济社会全面绿色转型，从源头上控制水环境污染，实现更高质量、更有效率、更加公平、更可持续、更为安全的发展。</w:t>
      </w:r>
    </w:p>
    <w:p>
      <w:pPr>
        <w:pStyle w:val="21"/>
        <w:ind w:left="0" w:leftChars="0" w:firstLine="562" w:firstLineChars="200"/>
        <w:rPr>
          <w:rFonts w:hint="eastAsia" w:ascii="宋体" w:hAnsi="宋体" w:cs="宋体" w:eastAsiaTheme="minorEastAsia"/>
          <w:bCs/>
          <w:kern w:val="2"/>
          <w:sz w:val="28"/>
          <w:szCs w:val="28"/>
          <w:lang w:val="en-US" w:eastAsia="zh-CN" w:bidi="ar-SA"/>
        </w:rPr>
      </w:pPr>
      <w:r>
        <w:rPr>
          <w:rFonts w:hint="eastAsia" w:ascii="楷体_GB2312" w:hAnsi="楷体_GB2312" w:eastAsia="楷体_GB2312" w:cs="楷体_GB2312"/>
          <w:b/>
          <w:bCs w:val="0"/>
          <w:kern w:val="2"/>
          <w:sz w:val="28"/>
          <w:szCs w:val="28"/>
          <w:lang w:val="en-US" w:eastAsia="zh-CN" w:bidi="ar-SA"/>
        </w:rPr>
        <w:t>坚持以人民为中心，提高水环境质量。</w:t>
      </w:r>
      <w:r>
        <w:rPr>
          <w:rFonts w:hint="eastAsia" w:ascii="宋体" w:hAnsi="宋体" w:cs="宋体" w:eastAsiaTheme="minorEastAsia"/>
          <w:bCs/>
          <w:kern w:val="2"/>
          <w:sz w:val="28"/>
          <w:szCs w:val="28"/>
          <w:lang w:val="en-US" w:eastAsia="zh-CN" w:bidi="ar-SA"/>
        </w:rPr>
        <w:t>坚持生态惠民、生态利民、生态为民，把提高水生态环境质量、不断满足人民日益增长的优美生态环境需要作为水生态环境保护工作的出发点和落脚点，多谋打基础、利长远的善事，多干保护自然、修复生态的实事，多做治山理水、显山露水的好事，重点解决损害群众健康的突出水环境问题，促进人与自然和谐共生。</w:t>
      </w:r>
    </w:p>
    <w:p>
      <w:pPr>
        <w:pStyle w:val="21"/>
        <w:ind w:left="0" w:leftChars="0" w:firstLine="562" w:firstLineChars="200"/>
        <w:rPr>
          <w:rFonts w:hint="eastAsia" w:ascii="宋体" w:hAnsi="宋体" w:cs="宋体" w:eastAsiaTheme="minorEastAsia"/>
          <w:bCs/>
          <w:kern w:val="2"/>
          <w:sz w:val="28"/>
          <w:szCs w:val="28"/>
          <w:lang w:val="en-US" w:eastAsia="zh-CN" w:bidi="ar-SA"/>
        </w:rPr>
      </w:pPr>
      <w:r>
        <w:rPr>
          <w:rFonts w:hint="eastAsia" w:ascii="楷体_GB2312" w:hAnsi="楷体_GB2312" w:eastAsia="楷体_GB2312" w:cs="楷体_GB2312"/>
          <w:b/>
          <w:bCs w:val="0"/>
          <w:kern w:val="2"/>
          <w:sz w:val="28"/>
          <w:szCs w:val="28"/>
          <w:lang w:val="en-US" w:eastAsia="zh-CN" w:bidi="ar-SA"/>
        </w:rPr>
        <w:t>坚持整体系统观，科学精准治污。</w:t>
      </w:r>
      <w:bookmarkStart w:id="9" w:name="_Hlk48728447"/>
      <w:r>
        <w:rPr>
          <w:rFonts w:hint="eastAsia" w:ascii="宋体" w:hAnsi="宋体" w:cs="宋体" w:eastAsiaTheme="minorEastAsia"/>
          <w:bCs/>
          <w:kern w:val="2"/>
          <w:sz w:val="28"/>
          <w:szCs w:val="28"/>
          <w:lang w:val="en-US" w:eastAsia="zh-CN" w:bidi="ar-SA"/>
        </w:rPr>
        <w:t>坚持前瞻性思考、全局性谋划、战略性布局，着力固根基、扬优势、补短板、强弱项，综合运用结构优化、水污染治理、水污染减排、污水达标排放、水生态保护等多种手段，因地制宜、分类指导、精准施策</w:t>
      </w:r>
      <w:bookmarkEnd w:id="9"/>
      <w:r>
        <w:rPr>
          <w:rFonts w:hint="eastAsia" w:ascii="宋体" w:hAnsi="宋体" w:cs="宋体" w:eastAsiaTheme="minorEastAsia"/>
          <w:bCs/>
          <w:kern w:val="2"/>
          <w:sz w:val="28"/>
          <w:szCs w:val="28"/>
          <w:lang w:val="en-US" w:eastAsia="zh-CN" w:bidi="ar-SA"/>
        </w:rPr>
        <w:t>，</w:t>
      </w:r>
      <w:bookmarkStart w:id="10" w:name="_Hlk40865483"/>
      <w:r>
        <w:rPr>
          <w:rFonts w:hint="eastAsia" w:ascii="宋体" w:hAnsi="宋体" w:cs="宋体" w:eastAsiaTheme="minorEastAsia"/>
          <w:bCs/>
          <w:kern w:val="2"/>
          <w:sz w:val="28"/>
          <w:szCs w:val="28"/>
          <w:lang w:val="en-US" w:eastAsia="zh-CN" w:bidi="ar-SA"/>
        </w:rPr>
        <w:t>提升水生态系统质量和稳定性。</w:t>
      </w:r>
    </w:p>
    <w:bookmarkEnd w:id="10"/>
    <w:p>
      <w:pPr>
        <w:pStyle w:val="21"/>
        <w:ind w:left="0" w:leftChars="0" w:firstLine="562" w:firstLineChars="200"/>
        <w:rPr>
          <w:rFonts w:hint="eastAsia" w:ascii="宋体" w:hAnsi="宋体" w:cs="宋体" w:eastAsiaTheme="minorEastAsia"/>
          <w:bCs/>
          <w:kern w:val="2"/>
          <w:sz w:val="28"/>
          <w:szCs w:val="28"/>
          <w:lang w:val="en-US" w:eastAsia="zh-CN" w:bidi="ar-SA"/>
        </w:rPr>
      </w:pPr>
      <w:r>
        <w:rPr>
          <w:rFonts w:hint="eastAsia" w:ascii="楷体_GB2312" w:hAnsi="楷体_GB2312" w:eastAsia="楷体_GB2312" w:cs="楷体_GB2312"/>
          <w:b/>
          <w:bCs w:val="0"/>
          <w:kern w:val="2"/>
          <w:sz w:val="28"/>
          <w:szCs w:val="28"/>
          <w:lang w:val="en-US" w:eastAsia="zh-CN" w:bidi="ar-SA"/>
        </w:rPr>
        <w:t>坚持底线思维，维护水环境安全。</w:t>
      </w:r>
      <w:r>
        <w:rPr>
          <w:rFonts w:hint="eastAsia" w:ascii="宋体" w:hAnsi="宋体" w:cs="宋体" w:eastAsiaTheme="minorEastAsia"/>
          <w:bCs/>
          <w:kern w:val="2"/>
          <w:sz w:val="28"/>
          <w:szCs w:val="28"/>
          <w:lang w:val="en-US" w:eastAsia="zh-CN" w:bidi="ar-SA"/>
        </w:rPr>
        <w:t>健全水生态文明法规制度体系，用最严格制度、最严密法治保护水生态环境，筑牢水生态安全屏障，有效防范化解水生态环境问题引发的社会风险，切实维护水生态环境安全。</w:t>
      </w:r>
    </w:p>
    <w:p>
      <w:pPr>
        <w:pStyle w:val="21"/>
        <w:ind w:left="0" w:leftChars="0" w:firstLine="562" w:firstLineChars="200"/>
        <w:rPr>
          <w:rFonts w:hint="eastAsia" w:ascii="宋体" w:hAnsi="宋体" w:cs="宋体" w:eastAsiaTheme="minorEastAsia"/>
          <w:bCs/>
          <w:kern w:val="2"/>
          <w:sz w:val="28"/>
          <w:szCs w:val="28"/>
          <w:lang w:val="en-US" w:eastAsia="zh-CN" w:bidi="ar-SA"/>
        </w:rPr>
      </w:pPr>
      <w:r>
        <w:rPr>
          <w:rFonts w:hint="eastAsia" w:ascii="楷体_GB2312" w:hAnsi="楷体_GB2312" w:eastAsia="楷体_GB2312" w:cs="楷体_GB2312"/>
          <w:b/>
          <w:bCs w:val="0"/>
          <w:kern w:val="2"/>
          <w:sz w:val="28"/>
          <w:szCs w:val="28"/>
          <w:lang w:val="en-US" w:eastAsia="zh-CN" w:bidi="ar-SA"/>
        </w:rPr>
        <w:t>坚持改革创新，提高水环境监管能力。</w:t>
      </w:r>
      <w:r>
        <w:rPr>
          <w:rFonts w:hint="eastAsia" w:ascii="宋体" w:hAnsi="宋体" w:cs="宋体" w:eastAsiaTheme="minorEastAsia"/>
          <w:bCs/>
          <w:kern w:val="2"/>
          <w:sz w:val="28"/>
          <w:szCs w:val="28"/>
          <w:lang w:val="en-US" w:eastAsia="zh-CN" w:bidi="ar-SA"/>
        </w:rPr>
        <w:t>坚持政策制度创新、科学技术创新、管理治理模式创新，深化水环境管理体制机制改革，统筹加强监察执法、水环境监测等能力建设，以水生态环境保护治理体系和治理能力现代化，支撑水生态环境精细化、差异化管理，推动完成水生态环境管理战略转型。</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11" w:name="_Toc29096"/>
      <w:r>
        <w:rPr>
          <w:rFonts w:hint="eastAsia" w:ascii="黑体" w:hAnsi="黑体" w:eastAsia="黑体" w:cs="黑体"/>
          <w:color w:val="333333"/>
          <w:sz w:val="28"/>
          <w:szCs w:val="28"/>
          <w:shd w:val="clear" w:color="auto" w:fill="FFFFFF"/>
          <w:lang w:val="en-US" w:eastAsia="zh-CN"/>
        </w:rPr>
        <w:t>三、主要目标</w:t>
      </w:r>
      <w:bookmarkEnd w:id="11"/>
    </w:p>
    <w:p>
      <w:pPr>
        <w:pStyle w:val="3"/>
        <w:ind w:left="0" w:leftChars="0" w:firstLine="560" w:firstLineChars="200"/>
        <w:rPr>
          <w:rFonts w:ascii="宋体" w:hAnsi="宋体" w:cs="宋体"/>
          <w:bCs/>
          <w:sz w:val="28"/>
          <w:szCs w:val="28"/>
        </w:rPr>
      </w:pPr>
      <w:r>
        <w:rPr>
          <w:rFonts w:hint="eastAsia" w:asciiTheme="minorEastAsia" w:hAnsiTheme="minorEastAsia" w:cstheme="minorEastAsia"/>
          <w:color w:val="333333"/>
          <w:sz w:val="28"/>
          <w:szCs w:val="28"/>
          <w:shd w:val="clear" w:color="auto" w:fill="FFFFFF"/>
        </w:rPr>
        <w:t>结合</w:t>
      </w:r>
      <w:r>
        <w:rPr>
          <w:rFonts w:hint="eastAsia" w:asciiTheme="minorEastAsia" w:hAnsiTheme="minorEastAsia" w:cstheme="minorEastAsia"/>
          <w:color w:val="333333"/>
          <w:sz w:val="28"/>
          <w:szCs w:val="28"/>
          <w:shd w:val="clear" w:color="auto" w:fill="FFFFFF"/>
          <w:lang w:eastAsia="zh-CN"/>
        </w:rPr>
        <w:t>蛟河</w:t>
      </w:r>
      <w:r>
        <w:rPr>
          <w:rFonts w:hint="eastAsia" w:asciiTheme="minorEastAsia" w:hAnsiTheme="minorEastAsia" w:cstheme="minorEastAsia"/>
          <w:color w:val="333333"/>
          <w:sz w:val="28"/>
          <w:szCs w:val="28"/>
          <w:shd w:val="clear" w:color="auto" w:fill="FFFFFF"/>
        </w:rPr>
        <w:t>市实际条件，规划</w:t>
      </w:r>
      <w:r>
        <w:rPr>
          <w:rFonts w:hint="eastAsia" w:asciiTheme="minorEastAsia" w:hAnsiTheme="minorEastAsia" w:cstheme="minorEastAsia"/>
          <w:color w:val="333333"/>
          <w:sz w:val="28"/>
          <w:szCs w:val="28"/>
          <w:shd w:val="clear" w:color="auto" w:fill="FFFFFF"/>
          <w:lang w:eastAsia="zh-CN"/>
        </w:rPr>
        <w:t>蛟河</w:t>
      </w:r>
      <w:r>
        <w:rPr>
          <w:rFonts w:hint="eastAsia" w:asciiTheme="minorEastAsia" w:hAnsiTheme="minorEastAsia" w:cstheme="minorEastAsia"/>
          <w:color w:val="333333"/>
          <w:sz w:val="28"/>
          <w:szCs w:val="28"/>
          <w:shd w:val="clear" w:color="auto" w:fill="FFFFFF"/>
        </w:rPr>
        <w:t>市特色项目，</w:t>
      </w:r>
      <w:r>
        <w:rPr>
          <w:rFonts w:hint="eastAsia" w:asciiTheme="minorEastAsia" w:hAnsiTheme="minorEastAsia" w:cstheme="minorEastAsia"/>
          <w:color w:val="333333"/>
          <w:sz w:val="28"/>
          <w:szCs w:val="28"/>
          <w:shd w:val="clear" w:color="auto" w:fill="FFFFFF"/>
          <w:lang w:eastAsia="zh-CN"/>
        </w:rPr>
        <w:t>到</w:t>
      </w:r>
      <w:r>
        <w:rPr>
          <w:rFonts w:hint="eastAsia" w:asciiTheme="minorEastAsia" w:hAnsiTheme="minorEastAsia" w:cstheme="minorEastAsia"/>
          <w:color w:val="333333"/>
          <w:sz w:val="28"/>
          <w:szCs w:val="28"/>
          <w:shd w:val="clear" w:color="auto" w:fill="FFFFFF"/>
          <w:lang w:val="en-US" w:eastAsia="zh-CN"/>
        </w:rPr>
        <w:t>2025年，</w:t>
      </w:r>
      <w:r>
        <w:rPr>
          <w:rFonts w:hint="eastAsia" w:asciiTheme="minorEastAsia" w:hAnsiTheme="minorEastAsia" w:cstheme="minorEastAsia"/>
          <w:color w:val="333333"/>
          <w:sz w:val="28"/>
          <w:szCs w:val="28"/>
          <w:shd w:val="clear" w:color="auto" w:fill="FFFFFF"/>
        </w:rPr>
        <w:t>力争实现</w:t>
      </w:r>
      <w:r>
        <w:rPr>
          <w:rFonts w:hint="eastAsia" w:asciiTheme="minorEastAsia" w:hAnsiTheme="minorEastAsia" w:cstheme="minorEastAsia"/>
          <w:color w:val="333333"/>
          <w:sz w:val="28"/>
          <w:szCs w:val="28"/>
          <w:shd w:val="clear" w:color="auto" w:fill="FFFFFF"/>
          <w:lang w:eastAsia="zh-CN"/>
        </w:rPr>
        <w:t>蛟河</w:t>
      </w:r>
      <w:r>
        <w:rPr>
          <w:rFonts w:hint="eastAsia" w:asciiTheme="minorEastAsia" w:hAnsiTheme="minorEastAsia" w:cstheme="minorEastAsia"/>
          <w:color w:val="333333"/>
          <w:sz w:val="28"/>
          <w:szCs w:val="28"/>
          <w:shd w:val="clear" w:color="auto" w:fill="FFFFFF"/>
        </w:rPr>
        <w:t>市重点流域2条河“1条河</w:t>
      </w:r>
      <w:r>
        <w:rPr>
          <w:rFonts w:hint="eastAsia" w:asciiTheme="minorEastAsia" w:hAnsiTheme="minorEastAsia" w:cstheme="minorEastAsia"/>
          <w:color w:val="333333"/>
          <w:sz w:val="28"/>
          <w:szCs w:val="28"/>
          <w:shd w:val="clear" w:color="auto" w:fill="FFFFFF"/>
          <w:lang w:eastAsia="zh-CN"/>
        </w:rPr>
        <w:t>保持</w:t>
      </w:r>
      <w:r>
        <w:rPr>
          <w:rFonts w:hint="eastAsia" w:asciiTheme="minorEastAsia" w:hAnsiTheme="minorEastAsia" w:cstheme="minorEastAsia"/>
          <w:color w:val="333333"/>
          <w:sz w:val="28"/>
          <w:szCs w:val="28"/>
          <w:shd w:val="clear" w:color="auto" w:fill="FFFFFF"/>
        </w:rPr>
        <w:t>优良水体、1条河稳定达标”的总体目标。通过解决河湖现存问题，解锁总量控制限制，打破制约经济发展因素，为</w:t>
      </w:r>
      <w:r>
        <w:rPr>
          <w:rFonts w:hint="eastAsia" w:asciiTheme="minorEastAsia" w:hAnsiTheme="minorEastAsia" w:cstheme="minorEastAsia"/>
          <w:color w:val="333333"/>
          <w:sz w:val="28"/>
          <w:szCs w:val="28"/>
          <w:shd w:val="clear" w:color="auto" w:fill="FFFFFF"/>
          <w:lang w:eastAsia="zh-CN"/>
        </w:rPr>
        <w:t>蛟河</w:t>
      </w:r>
      <w:r>
        <w:rPr>
          <w:rFonts w:hint="eastAsia" w:asciiTheme="minorEastAsia" w:hAnsiTheme="minorEastAsia" w:cstheme="minorEastAsia"/>
          <w:color w:val="333333"/>
          <w:sz w:val="28"/>
          <w:szCs w:val="28"/>
          <w:shd w:val="clear" w:color="auto" w:fill="FFFFFF"/>
        </w:rPr>
        <w:t>市经济社会发展建设提供有力支撑。</w:t>
      </w:r>
      <w:r>
        <w:rPr>
          <w:rFonts w:hint="eastAsia" w:ascii="宋体" w:hAnsi="宋体" w:cs="宋体"/>
          <w:bCs/>
          <w:sz w:val="28"/>
          <w:szCs w:val="28"/>
          <w:lang w:eastAsia="zh-CN"/>
        </w:rPr>
        <w:t>蛟河</w:t>
      </w:r>
      <w:r>
        <w:rPr>
          <w:rFonts w:hint="eastAsia" w:ascii="宋体" w:hAnsi="宋体" w:cs="宋体"/>
          <w:bCs/>
          <w:sz w:val="28"/>
          <w:szCs w:val="28"/>
        </w:rPr>
        <w:t>市“十四五”规划目标指标体系见表2-1。</w:t>
      </w:r>
    </w:p>
    <w:p>
      <w:pPr>
        <w:snapToGrid w:val="0"/>
        <w:spacing w:beforeLines="50" w:afterLines="50" w:line="600" w:lineRule="exact"/>
        <w:jc w:val="center"/>
        <w:rPr>
          <w:rFonts w:ascii="宋体" w:hAnsi="宋体" w:cs="宋体"/>
          <w:b/>
          <w:kern w:val="0"/>
          <w:sz w:val="28"/>
          <w:szCs w:val="28"/>
          <w:highlight w:val="yellow"/>
        </w:rPr>
      </w:pPr>
      <w:r>
        <w:rPr>
          <w:rFonts w:hint="eastAsia" w:ascii="宋体" w:hAnsi="宋体" w:cs="宋体"/>
          <w:b/>
          <w:kern w:val="0"/>
          <w:sz w:val="28"/>
          <w:szCs w:val="28"/>
          <w:highlight w:val="yellow"/>
        </w:rPr>
        <w:t>表2-1“十四五”规划目标指标体系表</w:t>
      </w:r>
    </w:p>
    <w:tbl>
      <w:tblPr>
        <w:tblStyle w:val="17"/>
        <w:tblW w:w="8512" w:type="dxa"/>
        <w:jc w:val="center"/>
        <w:tblInd w:w="0" w:type="dxa"/>
        <w:tblLayout w:type="fixed"/>
        <w:tblCellMar>
          <w:top w:w="0" w:type="dxa"/>
          <w:left w:w="108" w:type="dxa"/>
          <w:bottom w:w="0" w:type="dxa"/>
          <w:right w:w="108" w:type="dxa"/>
        </w:tblCellMar>
      </w:tblPr>
      <w:tblGrid>
        <w:gridCol w:w="772"/>
        <w:gridCol w:w="606"/>
        <w:gridCol w:w="4425"/>
        <w:gridCol w:w="813"/>
        <w:gridCol w:w="954"/>
        <w:gridCol w:w="942"/>
      </w:tblGrid>
      <w:tr>
        <w:tblPrEx>
          <w:tblLayout w:type="fixed"/>
          <w:tblCellMar>
            <w:top w:w="0" w:type="dxa"/>
            <w:left w:w="108" w:type="dxa"/>
            <w:bottom w:w="0" w:type="dxa"/>
            <w:right w:w="108" w:type="dxa"/>
          </w:tblCellMar>
        </w:tblPrEx>
        <w:trPr>
          <w:cantSplit/>
          <w:trHeight w:val="454"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类别</w:t>
            </w:r>
          </w:p>
        </w:tc>
        <w:tc>
          <w:tcPr>
            <w:tcW w:w="6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常 规 指 标</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2020年</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2025年</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b/>
                <w:bCs/>
                <w:kern w:val="0"/>
                <w:sz w:val="18"/>
                <w:szCs w:val="18"/>
                <w:lang w:eastAsia="zh-CN"/>
              </w:rPr>
            </w:pPr>
            <w:r>
              <w:rPr>
                <w:rFonts w:hint="eastAsia" w:ascii="宋体" w:hAnsi="宋体" w:cs="宋体"/>
                <w:b/>
                <w:bCs/>
                <w:kern w:val="0"/>
                <w:sz w:val="18"/>
                <w:szCs w:val="18"/>
                <w:lang w:eastAsia="zh-CN"/>
              </w:rPr>
              <w:t>指标类型</w:t>
            </w:r>
          </w:p>
        </w:tc>
      </w:tr>
      <w:tr>
        <w:tblPrEx>
          <w:tblLayout w:type="fixed"/>
          <w:tblCellMar>
            <w:top w:w="0" w:type="dxa"/>
            <w:left w:w="108" w:type="dxa"/>
            <w:bottom w:w="0" w:type="dxa"/>
            <w:right w:w="108" w:type="dxa"/>
          </w:tblCellMar>
        </w:tblPrEx>
        <w:trPr>
          <w:cantSplit/>
          <w:trHeight w:val="454" w:hRule="atLeast"/>
          <w:jc w:val="center"/>
        </w:trPr>
        <w:tc>
          <w:tcPr>
            <w:tcW w:w="772"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水环境</w:t>
            </w: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442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地表水优良（达到或优于Ⅲ类比例）（%）</w:t>
            </w:r>
          </w:p>
        </w:tc>
        <w:tc>
          <w:tcPr>
            <w:tcW w:w="813"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954"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vertAlign w:val="superscript"/>
              </w:rPr>
            </w:pPr>
          </w:p>
        </w:tc>
        <w:tc>
          <w:tcPr>
            <w:tcW w:w="942"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vertAlign w:val="superscript"/>
              </w:rPr>
            </w:pPr>
            <w:r>
              <w:rPr>
                <w:rFonts w:hint="eastAsia" w:ascii="宋体" w:hAnsi="宋体" w:eastAsia="宋体" w:cs="宋体"/>
                <w:kern w:val="0"/>
                <w:sz w:val="18"/>
                <w:szCs w:val="18"/>
                <w:lang w:eastAsia="zh-CN"/>
              </w:rPr>
              <w:t>约束性</w:t>
            </w:r>
          </w:p>
        </w:tc>
      </w:tr>
      <w:tr>
        <w:tblPrEx>
          <w:tblLayout w:type="fixed"/>
          <w:tblCellMar>
            <w:top w:w="0" w:type="dxa"/>
            <w:left w:w="108" w:type="dxa"/>
            <w:bottom w:w="0" w:type="dxa"/>
            <w:right w:w="108" w:type="dxa"/>
          </w:tblCellMar>
        </w:tblPrEx>
        <w:trPr>
          <w:cantSplit/>
          <w:trHeight w:val="454" w:hRule="atLeast"/>
          <w:jc w:val="center"/>
        </w:trPr>
        <w:tc>
          <w:tcPr>
            <w:tcW w:w="772"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2</w:t>
            </w:r>
          </w:p>
        </w:tc>
        <w:tc>
          <w:tcPr>
            <w:tcW w:w="442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地表水劣V类水体比例（%）</w:t>
            </w:r>
          </w:p>
        </w:tc>
        <w:tc>
          <w:tcPr>
            <w:tcW w:w="813"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c>
          <w:tcPr>
            <w:tcW w:w="954"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vertAlign w:val="superscript"/>
                <w:lang w:val="en-US" w:eastAsia="zh-CN"/>
              </w:rPr>
            </w:pPr>
            <w:r>
              <w:rPr>
                <w:rFonts w:hint="eastAsia" w:ascii="宋体" w:hAnsi="宋体" w:cs="宋体"/>
                <w:kern w:val="0"/>
                <w:sz w:val="18"/>
                <w:szCs w:val="18"/>
                <w:vertAlign w:val="baseline"/>
                <w:lang w:val="en-US" w:eastAsia="zh-CN"/>
              </w:rPr>
              <w:t>0</w:t>
            </w:r>
          </w:p>
        </w:tc>
        <w:tc>
          <w:tcPr>
            <w:tcW w:w="942"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vertAlign w:val="baseline"/>
                <w:lang w:val="en-US" w:eastAsia="zh-CN"/>
              </w:rPr>
            </w:pPr>
            <w:r>
              <w:rPr>
                <w:rFonts w:hint="eastAsia" w:ascii="宋体" w:hAnsi="宋体" w:eastAsia="宋体" w:cs="宋体"/>
                <w:kern w:val="0"/>
                <w:sz w:val="18"/>
                <w:szCs w:val="18"/>
                <w:lang w:eastAsia="zh-CN"/>
              </w:rPr>
              <w:t>约束性</w:t>
            </w:r>
          </w:p>
        </w:tc>
      </w:tr>
      <w:tr>
        <w:tblPrEx>
          <w:tblLayout w:type="fixed"/>
          <w:tblCellMar>
            <w:top w:w="0" w:type="dxa"/>
            <w:left w:w="108" w:type="dxa"/>
            <w:bottom w:w="0" w:type="dxa"/>
            <w:right w:w="108" w:type="dxa"/>
          </w:tblCellMar>
        </w:tblPrEx>
        <w:trPr>
          <w:cantSplit/>
          <w:trHeight w:val="454" w:hRule="atLeast"/>
          <w:jc w:val="center"/>
        </w:trPr>
        <w:tc>
          <w:tcPr>
            <w:tcW w:w="77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442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城市集中式饮用水水源达到或优于Ⅲ类比例（%）</w:t>
            </w:r>
          </w:p>
        </w:tc>
        <w:tc>
          <w:tcPr>
            <w:tcW w:w="813"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p>
        </w:tc>
        <w:tc>
          <w:tcPr>
            <w:tcW w:w="954"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p>
        </w:tc>
        <w:tc>
          <w:tcPr>
            <w:tcW w:w="942"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eastAsia="宋体" w:cs="宋体"/>
                <w:kern w:val="0"/>
                <w:sz w:val="18"/>
                <w:szCs w:val="18"/>
                <w:lang w:eastAsia="zh-CN"/>
              </w:rPr>
              <w:t>预期性</w:t>
            </w:r>
          </w:p>
        </w:tc>
      </w:tr>
      <w:tr>
        <w:tblPrEx>
          <w:tblLayout w:type="fixed"/>
          <w:tblCellMar>
            <w:top w:w="0" w:type="dxa"/>
            <w:left w:w="108" w:type="dxa"/>
            <w:bottom w:w="0" w:type="dxa"/>
            <w:right w:w="108" w:type="dxa"/>
          </w:tblCellMar>
        </w:tblPrEx>
        <w:trPr>
          <w:cantSplit/>
          <w:trHeight w:val="454" w:hRule="atLeast"/>
          <w:jc w:val="center"/>
        </w:trPr>
        <w:tc>
          <w:tcPr>
            <w:tcW w:w="772"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水资源</w:t>
            </w: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4</w:t>
            </w:r>
          </w:p>
        </w:tc>
        <w:tc>
          <w:tcPr>
            <w:tcW w:w="442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达到生态流量（水位）底线要求河湖数量（个）</w:t>
            </w:r>
          </w:p>
        </w:tc>
        <w:tc>
          <w:tcPr>
            <w:tcW w:w="813"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w:t>
            </w:r>
          </w:p>
        </w:tc>
        <w:tc>
          <w:tcPr>
            <w:tcW w:w="954"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vertAlign w:val="superscript"/>
                <w:lang w:val="en-US" w:eastAsia="zh-CN"/>
              </w:rPr>
            </w:pPr>
            <w:r>
              <w:rPr>
                <w:rFonts w:hint="eastAsia" w:ascii="宋体" w:hAnsi="宋体" w:cs="宋体"/>
                <w:kern w:val="0"/>
                <w:sz w:val="18"/>
                <w:szCs w:val="18"/>
                <w:vertAlign w:val="baseline"/>
                <w:lang w:val="en-US" w:eastAsia="zh-CN"/>
              </w:rPr>
              <w:t>0</w:t>
            </w:r>
          </w:p>
        </w:tc>
        <w:tc>
          <w:tcPr>
            <w:tcW w:w="942"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vertAlign w:val="baseline"/>
                <w:lang w:val="en-US" w:eastAsia="zh-CN"/>
              </w:rPr>
            </w:pPr>
            <w:r>
              <w:rPr>
                <w:rFonts w:hint="eastAsia" w:ascii="宋体" w:hAnsi="宋体" w:eastAsia="宋体" w:cs="宋体"/>
                <w:kern w:val="0"/>
                <w:sz w:val="18"/>
                <w:szCs w:val="18"/>
                <w:lang w:eastAsia="zh-CN"/>
              </w:rPr>
              <w:t>预期性</w:t>
            </w:r>
          </w:p>
        </w:tc>
      </w:tr>
      <w:tr>
        <w:tblPrEx>
          <w:tblLayout w:type="fixed"/>
          <w:tblCellMar>
            <w:top w:w="0" w:type="dxa"/>
            <w:left w:w="108" w:type="dxa"/>
            <w:bottom w:w="0" w:type="dxa"/>
            <w:right w:w="108" w:type="dxa"/>
          </w:tblCellMar>
        </w:tblPrEx>
        <w:trPr>
          <w:cantSplit/>
          <w:trHeight w:val="454" w:hRule="atLeast"/>
          <w:jc w:val="center"/>
        </w:trPr>
        <w:tc>
          <w:tcPr>
            <w:tcW w:w="772" w:type="dxa"/>
            <w:vMerge w:val="restart"/>
            <w:tcBorders>
              <w:top w:val="nil"/>
              <w:left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水生态</w:t>
            </w: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5</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水生生物完整性指数</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持续改善</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lang w:eastAsia="zh-CN"/>
              </w:rPr>
            </w:pPr>
            <w:r>
              <w:rPr>
                <w:rFonts w:hint="eastAsia" w:ascii="宋体" w:hAnsi="宋体" w:eastAsia="宋体" w:cs="宋体"/>
                <w:kern w:val="0"/>
                <w:sz w:val="18"/>
                <w:szCs w:val="18"/>
                <w:lang w:eastAsia="zh-CN"/>
              </w:rPr>
              <w:t>预期性</w:t>
            </w:r>
          </w:p>
        </w:tc>
      </w:tr>
      <w:tr>
        <w:tblPrEx>
          <w:tblLayout w:type="fixed"/>
          <w:tblCellMar>
            <w:top w:w="0" w:type="dxa"/>
            <w:left w:w="108" w:type="dxa"/>
            <w:bottom w:w="0" w:type="dxa"/>
            <w:right w:w="108" w:type="dxa"/>
          </w:tblCellMar>
        </w:tblPrEx>
        <w:trPr>
          <w:cantSplit/>
          <w:trHeight w:val="454" w:hRule="atLeast"/>
          <w:jc w:val="center"/>
        </w:trPr>
        <w:tc>
          <w:tcPr>
            <w:tcW w:w="772"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6</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河湖缓冲带生态修复长度（km）</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vertAlign w:val="superscript"/>
                <w:lang w:val="en-US" w:eastAsia="zh-CN"/>
              </w:rPr>
            </w:pPr>
            <w:r>
              <w:rPr>
                <w:rFonts w:hint="eastAsia" w:ascii="宋体" w:hAnsi="宋体" w:cs="宋体"/>
                <w:kern w:val="0"/>
                <w:sz w:val="18"/>
                <w:szCs w:val="18"/>
                <w:vertAlign w:val="baseline"/>
                <w:lang w:val="en-US" w:eastAsia="zh-CN"/>
              </w:rPr>
              <w:t>0</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vertAlign w:val="baseline"/>
                <w:lang w:val="en-US" w:eastAsia="zh-CN"/>
              </w:rPr>
            </w:pPr>
            <w:r>
              <w:rPr>
                <w:rFonts w:hint="eastAsia" w:ascii="宋体" w:hAnsi="宋体" w:eastAsia="宋体" w:cs="宋体"/>
                <w:kern w:val="0"/>
                <w:sz w:val="18"/>
                <w:szCs w:val="18"/>
                <w:lang w:eastAsia="zh-CN"/>
              </w:rPr>
              <w:t>预期性</w:t>
            </w:r>
          </w:p>
        </w:tc>
      </w:tr>
      <w:tr>
        <w:tblPrEx>
          <w:tblLayout w:type="fixed"/>
          <w:tblCellMar>
            <w:top w:w="0" w:type="dxa"/>
            <w:left w:w="108" w:type="dxa"/>
            <w:bottom w:w="0" w:type="dxa"/>
            <w:right w:w="108" w:type="dxa"/>
          </w:tblCellMar>
        </w:tblPrEx>
        <w:trPr>
          <w:cantSplit/>
          <w:trHeight w:val="454" w:hRule="atLeast"/>
          <w:jc w:val="center"/>
        </w:trPr>
        <w:tc>
          <w:tcPr>
            <w:tcW w:w="77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highlight w:val="yellow"/>
                <w:lang w:eastAsia="zh-CN"/>
              </w:rPr>
            </w:pPr>
            <w:r>
              <w:rPr>
                <w:rFonts w:hint="eastAsia" w:ascii="宋体" w:hAnsi="宋体" w:cs="宋体"/>
                <w:kern w:val="0"/>
                <w:sz w:val="18"/>
                <w:szCs w:val="18"/>
                <w:lang w:val="en-US" w:eastAsia="zh-CN"/>
              </w:rPr>
              <w:t>7</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湿地恢复（建设）面积（km</w:t>
            </w:r>
            <w:r>
              <w:rPr>
                <w:rFonts w:hint="eastAsia" w:ascii="宋体" w:hAnsi="宋体" w:cs="宋体"/>
                <w:kern w:val="0"/>
                <w:sz w:val="18"/>
                <w:szCs w:val="18"/>
                <w:vertAlign w:val="superscript"/>
              </w:rPr>
              <w:t>2</w:t>
            </w:r>
            <w:r>
              <w:rPr>
                <w:rFonts w:hint="eastAsia" w:ascii="宋体" w:hAnsi="宋体" w:cs="宋体"/>
                <w:kern w:val="0"/>
                <w:sz w:val="18"/>
                <w:szCs w:val="18"/>
              </w:rPr>
              <w:t>）</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lang w:val="en-US" w:eastAsia="zh-CN"/>
              </w:rPr>
            </w:pPr>
            <w:r>
              <w:rPr>
                <w:rFonts w:hint="eastAsia" w:ascii="宋体" w:hAnsi="宋体" w:eastAsia="宋体" w:cs="宋体"/>
                <w:kern w:val="0"/>
                <w:sz w:val="18"/>
                <w:szCs w:val="18"/>
                <w:lang w:eastAsia="zh-CN"/>
              </w:rPr>
              <w:t>预期性</w:t>
            </w:r>
          </w:p>
        </w:tc>
      </w:tr>
      <w:tr>
        <w:tblPrEx>
          <w:tblLayout w:type="fixed"/>
          <w:tblCellMar>
            <w:top w:w="0" w:type="dxa"/>
            <w:left w:w="108" w:type="dxa"/>
            <w:bottom w:w="0" w:type="dxa"/>
            <w:right w:w="108" w:type="dxa"/>
          </w:tblCellMar>
        </w:tblPrEx>
        <w:trPr>
          <w:cantSplit/>
          <w:trHeight w:val="454"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类别</w:t>
            </w:r>
          </w:p>
        </w:tc>
        <w:tc>
          <w:tcPr>
            <w:tcW w:w="6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亲 民 指  标</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2020年</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kern w:val="0"/>
                <w:sz w:val="18"/>
                <w:szCs w:val="18"/>
              </w:rPr>
            </w:pPr>
            <w:r>
              <w:rPr>
                <w:rFonts w:hint="eastAsia" w:ascii="宋体" w:hAnsi="宋体" w:cs="宋体"/>
                <w:b/>
                <w:bCs/>
                <w:kern w:val="0"/>
                <w:sz w:val="18"/>
                <w:szCs w:val="18"/>
              </w:rPr>
              <w:t>2025年</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b/>
                <w:bCs/>
                <w:kern w:val="0"/>
                <w:sz w:val="18"/>
                <w:szCs w:val="18"/>
              </w:rPr>
            </w:pPr>
            <w:r>
              <w:rPr>
                <w:rFonts w:hint="eastAsia" w:ascii="宋体" w:hAnsi="宋体" w:eastAsia="宋体" w:cs="宋体"/>
                <w:b/>
                <w:bCs/>
                <w:kern w:val="0"/>
                <w:sz w:val="18"/>
                <w:szCs w:val="18"/>
                <w:lang w:eastAsia="zh-CN"/>
              </w:rPr>
              <w:t>指标类型</w:t>
            </w:r>
          </w:p>
        </w:tc>
      </w:tr>
      <w:tr>
        <w:tblPrEx>
          <w:tblLayout w:type="fixed"/>
          <w:tblCellMar>
            <w:top w:w="0" w:type="dxa"/>
            <w:left w:w="108" w:type="dxa"/>
            <w:bottom w:w="0" w:type="dxa"/>
            <w:right w:w="108" w:type="dxa"/>
          </w:tblCellMar>
        </w:tblPrEx>
        <w:trPr>
          <w:cantSplit/>
          <w:trHeight w:val="45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水环境</w:t>
            </w: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1</w:t>
            </w:r>
          </w:p>
        </w:tc>
        <w:tc>
          <w:tcPr>
            <w:tcW w:w="442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城市建成区黑臭水体控制比例（%）</w:t>
            </w:r>
          </w:p>
        </w:tc>
        <w:tc>
          <w:tcPr>
            <w:tcW w:w="813"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lang w:val="en-US" w:eastAsia="zh-CN"/>
              </w:rPr>
            </w:pPr>
            <w:r>
              <w:rPr>
                <w:rFonts w:hint="eastAsia" w:ascii="宋体" w:hAnsi="宋体" w:eastAsia="宋体" w:cs="宋体"/>
                <w:kern w:val="0"/>
                <w:sz w:val="18"/>
                <w:szCs w:val="18"/>
                <w:lang w:eastAsia="zh-CN"/>
              </w:rPr>
              <w:t>预期性</w:t>
            </w:r>
          </w:p>
        </w:tc>
      </w:tr>
      <w:tr>
        <w:tblPrEx>
          <w:tblLayout w:type="fixed"/>
          <w:tblCellMar>
            <w:top w:w="0" w:type="dxa"/>
            <w:left w:w="108" w:type="dxa"/>
            <w:bottom w:w="0" w:type="dxa"/>
            <w:right w:w="108" w:type="dxa"/>
          </w:tblCellMar>
        </w:tblPrEx>
        <w:trPr>
          <w:cantSplit/>
          <w:trHeight w:val="45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水资源</w:t>
            </w: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442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恢复“有水”河湖数量（个）</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vertAlign w:val="superscript"/>
                <w:lang w:val="en-US" w:eastAsia="zh-CN"/>
              </w:rPr>
            </w:pPr>
            <w:r>
              <w:rPr>
                <w:rFonts w:hint="eastAsia" w:ascii="宋体" w:hAnsi="宋体" w:cs="宋体"/>
                <w:kern w:val="0"/>
                <w:sz w:val="18"/>
                <w:szCs w:val="18"/>
                <w:vertAlign w:val="baseline"/>
                <w:lang w:val="en-US" w:eastAsia="zh-CN"/>
              </w:rPr>
              <w:t>0</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vertAlign w:val="baseline"/>
                <w:lang w:val="en-US" w:eastAsia="zh-CN"/>
              </w:rPr>
            </w:pPr>
            <w:r>
              <w:rPr>
                <w:rFonts w:hint="eastAsia" w:ascii="宋体" w:hAnsi="宋体" w:eastAsia="宋体" w:cs="宋体"/>
                <w:kern w:val="0"/>
                <w:sz w:val="18"/>
                <w:szCs w:val="18"/>
                <w:lang w:eastAsia="zh-CN"/>
              </w:rPr>
              <w:t>预期性</w:t>
            </w:r>
          </w:p>
        </w:tc>
      </w:tr>
      <w:tr>
        <w:tblPrEx>
          <w:tblLayout w:type="fixed"/>
          <w:tblCellMar>
            <w:top w:w="0" w:type="dxa"/>
            <w:left w:w="108" w:type="dxa"/>
            <w:bottom w:w="0" w:type="dxa"/>
            <w:right w:w="108" w:type="dxa"/>
          </w:tblCellMar>
        </w:tblPrEx>
        <w:trPr>
          <w:cantSplit/>
          <w:trHeight w:val="454"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水生态</w:t>
            </w:r>
          </w:p>
        </w:tc>
        <w:tc>
          <w:tcPr>
            <w:tcW w:w="60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3</w:t>
            </w:r>
          </w:p>
        </w:tc>
        <w:tc>
          <w:tcPr>
            <w:tcW w:w="442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kern w:val="0"/>
                <w:sz w:val="18"/>
                <w:szCs w:val="18"/>
              </w:rPr>
            </w:pPr>
            <w:r>
              <w:rPr>
                <w:rFonts w:hint="eastAsia" w:ascii="宋体" w:hAnsi="宋体" w:cs="宋体"/>
                <w:kern w:val="0"/>
                <w:sz w:val="18"/>
                <w:szCs w:val="18"/>
              </w:rPr>
              <w:t>重现土著鱼类或水生植物水体数量（个）</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w:t>
            </w:r>
          </w:p>
        </w:tc>
        <w:tc>
          <w:tcPr>
            <w:tcW w:w="95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eastAsiaTheme="minorEastAsia"/>
                <w:kern w:val="0"/>
                <w:sz w:val="18"/>
                <w:szCs w:val="18"/>
                <w:vertAlign w:val="superscript"/>
                <w:lang w:val="en-US" w:eastAsia="zh-CN"/>
              </w:rPr>
            </w:pPr>
            <w:r>
              <w:rPr>
                <w:rFonts w:hint="eastAsia" w:ascii="宋体" w:hAnsi="宋体" w:cs="宋体"/>
                <w:kern w:val="0"/>
                <w:sz w:val="18"/>
                <w:szCs w:val="18"/>
                <w:vertAlign w:val="baseline"/>
                <w:lang w:val="en-US" w:eastAsia="zh-CN"/>
              </w:rPr>
              <w:t>0</w:t>
            </w:r>
          </w:p>
        </w:tc>
        <w:tc>
          <w:tcPr>
            <w:tcW w:w="94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cs="宋体"/>
                <w:kern w:val="0"/>
                <w:sz w:val="18"/>
                <w:szCs w:val="18"/>
                <w:vertAlign w:val="baseline"/>
                <w:lang w:val="en-US" w:eastAsia="zh-CN"/>
              </w:rPr>
            </w:pPr>
            <w:r>
              <w:rPr>
                <w:rFonts w:hint="eastAsia" w:ascii="宋体" w:hAnsi="宋体" w:eastAsia="宋体" w:cs="宋体"/>
                <w:kern w:val="0"/>
                <w:sz w:val="18"/>
                <w:szCs w:val="18"/>
                <w:lang w:eastAsia="zh-CN"/>
              </w:rPr>
              <w:t>预期性</w:t>
            </w:r>
          </w:p>
        </w:tc>
      </w:tr>
    </w:tbl>
    <w:p>
      <w:pPr>
        <w:pStyle w:val="2"/>
        <w:rPr>
          <w:rFonts w:hint="eastAsia"/>
        </w:rPr>
      </w:pPr>
    </w:p>
    <w:p>
      <w:pPr>
        <w:jc w:val="center"/>
        <w:rPr>
          <w:rFonts w:hint="eastAsia" w:ascii="黑体" w:hAnsi="黑体" w:eastAsia="黑体" w:cs="Times New Roman"/>
          <w:sz w:val="44"/>
          <w:szCs w:val="44"/>
          <w:lang w:val="en-US" w:eastAsia="zh-CN"/>
        </w:rPr>
      </w:pPr>
      <w:bookmarkStart w:id="12" w:name="_Toc9985"/>
    </w:p>
    <w:p>
      <w:pPr>
        <w:pStyle w:val="3"/>
        <w:adjustRightInd w:val="0"/>
        <w:spacing w:beforeLines="100" w:afterLines="100" w:line="600" w:lineRule="exact"/>
        <w:ind w:left="0" w:leftChars="0"/>
        <w:jc w:val="center"/>
        <w:outlineLvl w:val="0"/>
        <w:rPr>
          <w:rFonts w:hint="eastAsia" w:ascii="黑体" w:hAnsi="黑体" w:eastAsia="黑体" w:cs="Times New Roman"/>
          <w:sz w:val="44"/>
          <w:szCs w:val="44"/>
        </w:rPr>
      </w:pPr>
      <w:bookmarkStart w:id="13" w:name="_Toc19192"/>
      <w:r>
        <w:rPr>
          <w:rFonts w:hint="eastAsia" w:ascii="黑体" w:hAnsi="黑体" w:eastAsia="黑体" w:cs="Times New Roman"/>
          <w:sz w:val="44"/>
          <w:szCs w:val="44"/>
          <w:lang w:val="en-US" w:eastAsia="zh-CN"/>
        </w:rPr>
        <w:t xml:space="preserve">第三章 </w:t>
      </w:r>
      <w:bookmarkEnd w:id="12"/>
      <w:r>
        <w:rPr>
          <w:rFonts w:hint="eastAsia" w:ascii="黑体" w:hAnsi="黑体" w:eastAsia="黑体" w:cs="Times New Roman"/>
          <w:sz w:val="44"/>
          <w:szCs w:val="44"/>
          <w:lang w:val="en-US" w:eastAsia="zh-CN"/>
        </w:rPr>
        <w:t>重点任务</w:t>
      </w:r>
      <w:bookmarkEnd w:id="13"/>
    </w:p>
    <w:p>
      <w:pPr>
        <w:pStyle w:val="21"/>
        <w:ind w:left="0" w:leftChars="0" w:firstLine="560" w:firstLineChars="200"/>
        <w:rPr>
          <w:rFonts w:hint="eastAsia" w:ascii="宋体" w:hAnsi="宋体" w:cs="宋体" w:eastAsiaTheme="minorEastAsia"/>
          <w:bCs/>
          <w:kern w:val="2"/>
          <w:sz w:val="28"/>
          <w:szCs w:val="28"/>
          <w:lang w:val="en-US" w:eastAsia="zh-CN" w:bidi="ar-SA"/>
        </w:rPr>
      </w:pPr>
      <w:bookmarkStart w:id="14" w:name="_Toc20358"/>
      <w:r>
        <w:rPr>
          <w:rFonts w:hint="eastAsia" w:ascii="宋体" w:hAnsi="宋体" w:cs="宋体" w:eastAsiaTheme="minorEastAsia"/>
          <w:bCs/>
          <w:kern w:val="2"/>
          <w:sz w:val="28"/>
          <w:szCs w:val="28"/>
          <w:lang w:val="en-US" w:eastAsia="zh-CN" w:bidi="ar-SA"/>
        </w:rPr>
        <w:t>以水生态环境质量持续改善为核心，以绿色转型发展为动力，以水生态惠民利民为宗旨，坚持污染治理和生态保护修复并重，突出水环境质量改善、水资源保障、水生态修复“三水”统筹，深入打好碧水保卫战，推进水生态环境质量不断巩固提升。</w:t>
      </w:r>
      <w:bookmarkEnd w:id="14"/>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15" w:name="_Toc24013"/>
      <w:bookmarkStart w:id="16" w:name="_Toc2964"/>
      <w:r>
        <w:rPr>
          <w:rFonts w:hint="eastAsia" w:ascii="黑体" w:hAnsi="黑体" w:eastAsia="黑体" w:cs="黑体"/>
          <w:color w:val="333333"/>
          <w:sz w:val="28"/>
          <w:szCs w:val="28"/>
          <w:shd w:val="clear" w:color="auto" w:fill="FFFFFF"/>
          <w:lang w:val="en-US" w:eastAsia="zh-CN"/>
        </w:rPr>
        <w:t>一、饮用水水源地保护任务</w:t>
      </w:r>
      <w:bookmarkEnd w:id="15"/>
      <w:bookmarkEnd w:id="16"/>
    </w:p>
    <w:p>
      <w:pPr>
        <w:adjustRightInd w:val="0"/>
        <w:spacing w:line="360" w:lineRule="auto"/>
        <w:ind w:firstLine="560" w:firstLineChars="200"/>
        <w:rPr>
          <w:rFonts w:hint="eastAsia" w:ascii="宋体" w:hAnsi="宋体" w:cs="宋体"/>
          <w:bCs/>
          <w:sz w:val="28"/>
          <w:szCs w:val="28"/>
          <w:lang w:val="en-US" w:eastAsia="zh-CN"/>
        </w:rPr>
      </w:pPr>
      <w:r>
        <w:rPr>
          <w:rFonts w:hint="eastAsia" w:ascii="宋体" w:hAnsi="宋体" w:cs="宋体"/>
          <w:bCs/>
          <w:sz w:val="28"/>
          <w:szCs w:val="28"/>
          <w:lang w:eastAsia="zh-CN"/>
        </w:rPr>
        <w:t>进一步加强团山子城市饮用水水源地保护，全面开展饮用水水源保护区问题整治，持续推进二级保护区内农业面源污染和生活污染治理，巩固提升治理成效</w:t>
      </w:r>
      <w:r>
        <w:rPr>
          <w:rFonts w:hint="eastAsia" w:ascii="宋体" w:hAnsi="宋体" w:cs="宋体"/>
          <w:bCs/>
          <w:sz w:val="28"/>
          <w:szCs w:val="28"/>
        </w:rPr>
        <w:t>，</w:t>
      </w:r>
      <w:r>
        <w:rPr>
          <w:rFonts w:hint="eastAsia" w:ascii="宋体" w:hAnsi="宋体" w:cs="宋体"/>
          <w:bCs/>
          <w:sz w:val="28"/>
          <w:szCs w:val="28"/>
          <w:lang w:eastAsia="zh-CN"/>
        </w:rPr>
        <w:t>保障人民饮水安全，</w:t>
      </w:r>
      <w:r>
        <w:rPr>
          <w:rFonts w:hint="eastAsia" w:ascii="宋体" w:hAnsi="宋体" w:cs="宋体"/>
          <w:bCs/>
          <w:sz w:val="28"/>
          <w:szCs w:val="28"/>
        </w:rPr>
        <w:t>降低饮用水水源地水环境风险。不断提升</w:t>
      </w:r>
      <w:r>
        <w:rPr>
          <w:rFonts w:hint="eastAsia" w:ascii="宋体" w:hAnsi="宋体" w:cs="宋体"/>
          <w:bCs/>
          <w:sz w:val="28"/>
          <w:szCs w:val="28"/>
          <w:lang w:eastAsia="zh-CN"/>
        </w:rPr>
        <w:t>饮用水水源</w:t>
      </w:r>
      <w:r>
        <w:rPr>
          <w:rFonts w:hint="eastAsia" w:ascii="宋体" w:hAnsi="宋体" w:cs="宋体"/>
          <w:bCs/>
          <w:sz w:val="28"/>
          <w:szCs w:val="28"/>
        </w:rPr>
        <w:t>应急处置能力。进一步明确加强应急物资储备建设、应急队伍建设、风险防范制度建设和建立健全联防联控应急机制。认真落实《农村饮用水水源保护规划》，结合实际，力争完成饮用水水源保护区隔离防护设施建设、供水站名牌、水源地保护等警示标志的设置。启动农村集中式饮用水水源保护区整治专项行动，全面清理整治农村集中式饮用水水源保护区内环境违法违规问题，确保群众饮水安全。</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17" w:name="_Toc6476"/>
      <w:bookmarkStart w:id="18" w:name="_Toc4837"/>
      <w:r>
        <w:rPr>
          <w:rFonts w:hint="eastAsia" w:ascii="黑体" w:hAnsi="黑体" w:eastAsia="黑体" w:cs="黑体"/>
          <w:color w:val="333333"/>
          <w:sz w:val="28"/>
          <w:szCs w:val="28"/>
          <w:shd w:val="clear" w:color="auto" w:fill="FFFFFF"/>
          <w:lang w:val="en-US" w:eastAsia="zh-CN"/>
        </w:rPr>
        <w:t>二、污染减排任务</w:t>
      </w:r>
      <w:bookmarkEnd w:id="17"/>
      <w:bookmarkEnd w:id="18"/>
    </w:p>
    <w:p>
      <w:pPr>
        <w:adjustRightInd w:val="0"/>
        <w:spacing w:line="360" w:lineRule="auto"/>
        <w:ind w:firstLine="562" w:firstLineChars="200"/>
        <w:rPr>
          <w:rFonts w:hint="eastAsia" w:ascii="宋体" w:hAnsi="宋体" w:cs="宋体"/>
          <w:bCs/>
          <w:sz w:val="28"/>
          <w:szCs w:val="28"/>
        </w:rPr>
      </w:pPr>
      <w:r>
        <w:rPr>
          <w:rFonts w:hint="eastAsia" w:ascii="楷体_GB2312" w:hAnsi="楷体_GB2312" w:eastAsia="楷体_GB2312" w:cs="楷体_GB2312"/>
          <w:b/>
          <w:bCs/>
          <w:color w:val="333333"/>
          <w:sz w:val="28"/>
          <w:szCs w:val="28"/>
          <w:shd w:val="clear" w:color="auto" w:fill="FFFFFF"/>
          <w:lang w:eastAsia="zh-CN"/>
        </w:rPr>
        <w:t>（</w:t>
      </w:r>
      <w:r>
        <w:rPr>
          <w:rFonts w:hint="eastAsia" w:ascii="楷体_GB2312" w:hAnsi="楷体_GB2312" w:eastAsia="楷体_GB2312" w:cs="楷体_GB2312"/>
          <w:b/>
          <w:bCs/>
          <w:color w:val="333333"/>
          <w:sz w:val="28"/>
          <w:szCs w:val="28"/>
          <w:shd w:val="clear" w:color="auto" w:fill="FFFFFF"/>
          <w:lang w:val="en-US" w:eastAsia="zh-CN"/>
        </w:rPr>
        <w:t>一</w:t>
      </w:r>
      <w:r>
        <w:rPr>
          <w:rFonts w:hint="eastAsia" w:ascii="楷体_GB2312" w:hAnsi="楷体_GB2312" w:eastAsia="楷体_GB2312" w:cs="楷体_GB2312"/>
          <w:b/>
          <w:bCs/>
          <w:color w:val="333333"/>
          <w:sz w:val="28"/>
          <w:szCs w:val="28"/>
          <w:shd w:val="clear" w:color="auto" w:fill="FFFFFF"/>
          <w:lang w:eastAsia="zh-CN"/>
        </w:rPr>
        <w:t>）</w:t>
      </w:r>
      <w:r>
        <w:rPr>
          <w:rFonts w:hint="eastAsia" w:ascii="楷体_GB2312" w:hAnsi="楷体_GB2312" w:eastAsia="楷体_GB2312" w:cs="楷体_GB2312"/>
          <w:b/>
          <w:bCs/>
          <w:color w:val="333333"/>
          <w:sz w:val="28"/>
          <w:szCs w:val="28"/>
          <w:shd w:val="clear" w:color="auto" w:fill="FFFFFF"/>
        </w:rPr>
        <w:t>推进乡镇污水处理设施建设，完善污水管网体系。</w:t>
      </w:r>
      <w:r>
        <w:rPr>
          <w:rFonts w:hint="eastAsia" w:ascii="宋体" w:hAnsi="宋体" w:cs="宋体"/>
          <w:bCs/>
          <w:sz w:val="28"/>
          <w:szCs w:val="28"/>
        </w:rPr>
        <w:t>推进</w:t>
      </w:r>
      <w:r>
        <w:rPr>
          <w:rFonts w:hint="eastAsia" w:ascii="宋体" w:hAnsi="宋体" w:cs="宋体"/>
          <w:bCs/>
          <w:sz w:val="28"/>
          <w:szCs w:val="28"/>
          <w:lang w:eastAsia="zh-CN"/>
        </w:rPr>
        <w:t>黄松甸镇、庆岭镇、松江镇、天北镇</w:t>
      </w:r>
      <w:r>
        <w:rPr>
          <w:rFonts w:hint="eastAsia" w:ascii="宋体" w:hAnsi="宋体" w:cs="宋体"/>
          <w:bCs/>
          <w:sz w:val="28"/>
          <w:szCs w:val="28"/>
        </w:rPr>
        <w:t>乡镇污水收集管网及集中处理设施建设，提高污水收集率和处理率，保证污水厂出水水质稳定达到标准要求，减少污染物入河量。</w:t>
      </w:r>
    </w:p>
    <w:p>
      <w:pPr>
        <w:adjustRightInd w:val="0"/>
        <w:spacing w:line="360" w:lineRule="auto"/>
        <w:ind w:firstLine="562" w:firstLineChars="200"/>
        <w:rPr>
          <w:rFonts w:hint="eastAsia" w:ascii="宋体" w:hAnsi="宋体" w:cs="宋体"/>
          <w:bCs/>
          <w:sz w:val="28"/>
          <w:szCs w:val="28"/>
        </w:rPr>
      </w:pPr>
      <w:r>
        <w:rPr>
          <w:rFonts w:hint="eastAsia" w:ascii="楷体_GB2312" w:hAnsi="楷体_GB2312" w:eastAsia="楷体_GB2312" w:cs="楷体_GB2312"/>
          <w:b/>
          <w:bCs/>
          <w:color w:val="333333"/>
          <w:sz w:val="28"/>
          <w:szCs w:val="28"/>
          <w:shd w:val="clear" w:color="auto" w:fill="FFFFFF"/>
          <w:lang w:eastAsia="zh-CN"/>
        </w:rPr>
        <w:t>（</w:t>
      </w:r>
      <w:r>
        <w:rPr>
          <w:rFonts w:hint="eastAsia" w:ascii="楷体_GB2312" w:hAnsi="楷体_GB2312" w:eastAsia="楷体_GB2312" w:cs="楷体_GB2312"/>
          <w:b/>
          <w:bCs/>
          <w:color w:val="333333"/>
          <w:sz w:val="28"/>
          <w:szCs w:val="28"/>
          <w:shd w:val="clear" w:color="auto" w:fill="FFFFFF"/>
          <w:lang w:val="en-US" w:eastAsia="zh-CN"/>
        </w:rPr>
        <w:t>二</w:t>
      </w:r>
      <w:r>
        <w:rPr>
          <w:rFonts w:hint="eastAsia" w:ascii="楷体_GB2312" w:hAnsi="楷体_GB2312" w:eastAsia="楷体_GB2312" w:cs="楷体_GB2312"/>
          <w:b/>
          <w:bCs/>
          <w:color w:val="333333"/>
          <w:sz w:val="28"/>
          <w:szCs w:val="28"/>
          <w:shd w:val="clear" w:color="auto" w:fill="FFFFFF"/>
          <w:lang w:eastAsia="zh-CN"/>
        </w:rPr>
        <w:t>）</w:t>
      </w:r>
      <w:r>
        <w:rPr>
          <w:rFonts w:hint="eastAsia" w:ascii="楷体_GB2312" w:hAnsi="楷体_GB2312" w:eastAsia="楷体_GB2312" w:cs="楷体_GB2312"/>
          <w:b/>
          <w:bCs/>
          <w:color w:val="333333"/>
          <w:sz w:val="28"/>
          <w:szCs w:val="28"/>
          <w:shd w:val="clear" w:color="auto" w:fill="FFFFFF"/>
        </w:rPr>
        <w:t>加强种植业面源污染控制。</w:t>
      </w:r>
      <w:r>
        <w:rPr>
          <w:rFonts w:hint="eastAsia" w:ascii="宋体" w:hAnsi="宋体" w:cs="宋体"/>
          <w:bCs/>
          <w:sz w:val="28"/>
          <w:szCs w:val="28"/>
        </w:rPr>
        <w:t>对流域农田面源污染应采用源头控制、过程阻断和末端控制相结合的综合性工程和管理措施。加强种植业污染管控，大力推广使用有机肥，实施化肥农药减量化方案，减少污染物入河量。将河道范围内土地收归政府，禁止耕种，自然恢复植被覆盖，减少污染物直接入河，提升水体自净能力，实现泥沙和氮磷营养物质入河拦截。</w:t>
      </w:r>
    </w:p>
    <w:p>
      <w:pPr>
        <w:adjustRightInd w:val="0"/>
        <w:spacing w:line="360" w:lineRule="auto"/>
        <w:ind w:firstLine="562" w:firstLineChars="200"/>
        <w:rPr>
          <w:rFonts w:hint="eastAsia" w:ascii="宋体" w:hAnsi="宋体" w:cs="宋体"/>
          <w:bCs/>
          <w:sz w:val="28"/>
          <w:szCs w:val="28"/>
        </w:rPr>
      </w:pPr>
      <w:r>
        <w:rPr>
          <w:rFonts w:hint="eastAsia" w:ascii="楷体_GB2312" w:hAnsi="楷体_GB2312" w:eastAsia="楷体_GB2312" w:cs="楷体_GB2312"/>
          <w:b/>
          <w:bCs/>
          <w:color w:val="333333"/>
          <w:sz w:val="28"/>
          <w:szCs w:val="28"/>
          <w:shd w:val="clear" w:color="auto" w:fill="FFFFFF"/>
          <w:lang w:eastAsia="zh-CN"/>
        </w:rPr>
        <w:t>（三）</w:t>
      </w:r>
      <w:r>
        <w:rPr>
          <w:rFonts w:hint="eastAsia" w:ascii="楷体_GB2312" w:hAnsi="楷体_GB2312" w:eastAsia="楷体_GB2312" w:cs="楷体_GB2312"/>
          <w:b/>
          <w:bCs/>
          <w:color w:val="333333"/>
          <w:sz w:val="28"/>
          <w:szCs w:val="28"/>
          <w:shd w:val="clear" w:color="auto" w:fill="FFFFFF"/>
        </w:rPr>
        <w:t>推进畜禽粪污资源化利用。</w:t>
      </w:r>
      <w:r>
        <w:rPr>
          <w:rFonts w:hint="eastAsia" w:ascii="宋体" w:hAnsi="宋体" w:cs="宋体"/>
          <w:bCs/>
          <w:sz w:val="28"/>
          <w:szCs w:val="28"/>
        </w:rPr>
        <w:t>对汇水范围内散养畜禽粪污进行集中收集，推动形成覆盖全区域范围的“分散收集、集中管理、统一转运”的畜禽粪污收储运体系，实现区域分散畜禽养殖粪污收集全覆盖。建设畜禽粪便综合利用工程，实现畜禽粪便的无害化、减量化和资源化，降低畜禽粪污污染。</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19" w:name="_Toc8684"/>
      <w:bookmarkStart w:id="20" w:name="_Toc23364"/>
      <w:r>
        <w:rPr>
          <w:rFonts w:hint="eastAsia" w:ascii="黑体" w:hAnsi="黑体" w:eastAsia="黑体" w:cs="黑体"/>
          <w:color w:val="333333"/>
          <w:sz w:val="28"/>
          <w:szCs w:val="28"/>
          <w:shd w:val="clear" w:color="auto" w:fill="FFFFFF"/>
          <w:lang w:val="en-US" w:eastAsia="zh-CN"/>
        </w:rPr>
        <w:t>三、水生态保护修复任务</w:t>
      </w:r>
      <w:bookmarkEnd w:id="19"/>
      <w:bookmarkEnd w:id="20"/>
    </w:p>
    <w:p>
      <w:pPr>
        <w:adjustRightInd w:val="0"/>
        <w:spacing w:line="360" w:lineRule="auto"/>
        <w:ind w:firstLine="560" w:firstLineChars="200"/>
        <w:rPr>
          <w:rFonts w:hint="eastAsia" w:ascii="宋体" w:hAnsi="宋体" w:cs="宋体"/>
          <w:bCs/>
          <w:sz w:val="28"/>
          <w:szCs w:val="28"/>
          <w:lang w:val="en-US" w:eastAsia="zh-CN"/>
        </w:rPr>
      </w:pPr>
      <w:r>
        <w:rPr>
          <w:rFonts w:hint="eastAsia" w:ascii="宋体" w:hAnsi="宋体" w:cs="宋体"/>
          <w:bCs/>
          <w:sz w:val="28"/>
          <w:szCs w:val="28"/>
        </w:rPr>
        <w:t>加强</w:t>
      </w:r>
      <w:r>
        <w:rPr>
          <w:rFonts w:hint="eastAsia" w:ascii="宋体" w:hAnsi="宋体" w:cs="宋体"/>
          <w:bCs/>
          <w:sz w:val="28"/>
          <w:szCs w:val="28"/>
          <w:lang w:eastAsia="zh-CN"/>
        </w:rPr>
        <w:t>松花湖</w:t>
      </w:r>
      <w:r>
        <w:rPr>
          <w:rFonts w:hint="eastAsia" w:ascii="宋体" w:hAnsi="宋体" w:cs="宋体"/>
          <w:bCs/>
          <w:sz w:val="28"/>
          <w:szCs w:val="28"/>
        </w:rPr>
        <w:t>263.5m水淹线以下禁种监管，明确标识位置，切实落实禁种政策，恢复现有天然湿地，消纳因地表径流带入</w:t>
      </w:r>
      <w:r>
        <w:rPr>
          <w:rFonts w:hint="eastAsia" w:ascii="宋体" w:hAnsi="宋体" w:cs="宋体"/>
          <w:bCs/>
          <w:sz w:val="28"/>
          <w:szCs w:val="28"/>
          <w:lang w:eastAsia="zh-CN"/>
        </w:rPr>
        <w:t>松花湖</w:t>
      </w:r>
      <w:r>
        <w:rPr>
          <w:rFonts w:hint="eastAsia" w:ascii="宋体" w:hAnsi="宋体" w:cs="宋体"/>
          <w:bCs/>
          <w:sz w:val="28"/>
          <w:szCs w:val="28"/>
        </w:rPr>
        <w:t>的氮磷</w:t>
      </w:r>
      <w:r>
        <w:rPr>
          <w:rFonts w:hint="eastAsia" w:ascii="宋体" w:hAnsi="宋体" w:cs="宋体"/>
          <w:bCs/>
          <w:sz w:val="28"/>
          <w:szCs w:val="28"/>
          <w:lang w:eastAsia="zh-CN"/>
        </w:rPr>
        <w:t>。</w:t>
      </w:r>
      <w:r>
        <w:rPr>
          <w:rFonts w:hint="eastAsia" w:ascii="宋体" w:hAnsi="宋体" w:cs="宋体"/>
          <w:bCs/>
          <w:sz w:val="28"/>
          <w:szCs w:val="28"/>
        </w:rPr>
        <w:t>推进松花湖渔业资源修复工作</w:t>
      </w:r>
      <w:r>
        <w:rPr>
          <w:rFonts w:hint="eastAsia" w:ascii="宋体" w:hAnsi="宋体" w:cs="宋体"/>
          <w:bCs/>
          <w:sz w:val="28"/>
          <w:szCs w:val="28"/>
          <w:lang w:eastAsia="zh-CN"/>
        </w:rPr>
        <w:t>，配合吉林市</w:t>
      </w:r>
      <w:r>
        <w:rPr>
          <w:rFonts w:hint="eastAsia" w:ascii="宋体" w:hAnsi="宋体" w:cs="宋体"/>
          <w:bCs/>
          <w:sz w:val="28"/>
          <w:szCs w:val="28"/>
        </w:rPr>
        <w:t>增殖放流</w:t>
      </w:r>
      <w:r>
        <w:rPr>
          <w:rFonts w:hint="eastAsia" w:ascii="宋体" w:hAnsi="宋体" w:cs="宋体"/>
          <w:bCs/>
          <w:sz w:val="28"/>
          <w:szCs w:val="28"/>
          <w:lang w:eastAsia="zh-CN"/>
        </w:rPr>
        <w:t>，</w:t>
      </w:r>
      <w:r>
        <w:rPr>
          <w:rFonts w:hint="eastAsia" w:ascii="宋体" w:hAnsi="宋体" w:cs="宋体"/>
          <w:bCs/>
          <w:sz w:val="28"/>
          <w:szCs w:val="28"/>
        </w:rPr>
        <w:t>促进松花湖保水渔业、碳汇渔业、生态渔业可持续发展，全面提升松花湖水域环境质量</w:t>
      </w:r>
      <w:r>
        <w:rPr>
          <w:rFonts w:hint="eastAsia" w:ascii="宋体" w:hAnsi="宋体" w:cs="宋体"/>
          <w:bCs/>
          <w:sz w:val="28"/>
          <w:szCs w:val="28"/>
          <w:lang w:eastAsia="zh-CN"/>
        </w:rPr>
        <w:t>，</w:t>
      </w:r>
      <w:r>
        <w:rPr>
          <w:rFonts w:hint="eastAsia" w:ascii="宋体" w:hAnsi="宋体" w:cs="宋体"/>
          <w:bCs/>
          <w:sz w:val="28"/>
          <w:szCs w:val="28"/>
        </w:rPr>
        <w:t>达到“有河要有水，有水要有鱼，有鱼要有草，下河能游泳”的目标。</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21" w:name="_Toc31228"/>
      <w:bookmarkStart w:id="22" w:name="_Toc20837"/>
      <w:r>
        <w:rPr>
          <w:rFonts w:hint="eastAsia" w:ascii="黑体" w:hAnsi="黑体" w:eastAsia="黑体" w:cs="黑体"/>
          <w:color w:val="333333"/>
          <w:sz w:val="28"/>
          <w:szCs w:val="28"/>
          <w:shd w:val="clear" w:color="auto" w:fill="FFFFFF"/>
          <w:lang w:val="en-US" w:eastAsia="zh-CN"/>
        </w:rPr>
        <w:t>四、水环境风险防控任务</w:t>
      </w:r>
      <w:bookmarkEnd w:id="21"/>
      <w:bookmarkEnd w:id="22"/>
    </w:p>
    <w:p>
      <w:pPr>
        <w:adjustRightInd w:val="0"/>
        <w:spacing w:line="360" w:lineRule="auto"/>
        <w:ind w:firstLine="562" w:firstLineChars="200"/>
        <w:rPr>
          <w:rFonts w:hint="eastAsia" w:ascii="宋体" w:hAnsi="宋体" w:cs="宋体"/>
          <w:bCs/>
          <w:sz w:val="28"/>
          <w:szCs w:val="28"/>
        </w:rPr>
      </w:pPr>
      <w:r>
        <w:rPr>
          <w:rFonts w:hint="eastAsia" w:ascii="楷体_GB2312" w:hAnsi="楷体_GB2312" w:eastAsia="楷体_GB2312" w:cs="楷体_GB2312"/>
          <w:b/>
          <w:bCs/>
          <w:color w:val="333333"/>
          <w:sz w:val="28"/>
          <w:szCs w:val="28"/>
          <w:shd w:val="clear" w:color="auto" w:fill="FFFFFF"/>
        </w:rPr>
        <w:t>（</w:t>
      </w:r>
      <w:r>
        <w:rPr>
          <w:rFonts w:hint="eastAsia" w:ascii="楷体_GB2312" w:hAnsi="楷体_GB2312" w:eastAsia="楷体_GB2312" w:cs="楷体_GB2312"/>
          <w:b/>
          <w:bCs/>
          <w:color w:val="333333"/>
          <w:sz w:val="28"/>
          <w:szCs w:val="28"/>
          <w:shd w:val="clear" w:color="auto" w:fill="FFFFFF"/>
          <w:lang w:val="en-US" w:eastAsia="zh-CN"/>
        </w:rPr>
        <w:t>一</w:t>
      </w:r>
      <w:r>
        <w:rPr>
          <w:rFonts w:hint="eastAsia" w:ascii="楷体_GB2312" w:hAnsi="楷体_GB2312" w:eastAsia="楷体_GB2312" w:cs="楷体_GB2312"/>
          <w:b/>
          <w:bCs/>
          <w:color w:val="333333"/>
          <w:sz w:val="28"/>
          <w:szCs w:val="28"/>
          <w:shd w:val="clear" w:color="auto" w:fill="FFFFFF"/>
        </w:rPr>
        <w:t>）加强</w:t>
      </w:r>
      <w:r>
        <w:rPr>
          <w:rFonts w:hint="eastAsia" w:ascii="楷体_GB2312" w:hAnsi="楷体_GB2312" w:eastAsia="楷体_GB2312" w:cs="楷体_GB2312"/>
          <w:b/>
          <w:bCs/>
          <w:color w:val="333333"/>
          <w:sz w:val="28"/>
          <w:szCs w:val="28"/>
          <w:shd w:val="clear" w:color="auto" w:fill="FFFFFF"/>
          <w:lang w:eastAsia="zh-CN"/>
        </w:rPr>
        <w:t>河湖</w:t>
      </w:r>
      <w:r>
        <w:rPr>
          <w:rFonts w:hint="eastAsia" w:ascii="楷体_GB2312" w:hAnsi="楷体_GB2312" w:eastAsia="楷体_GB2312" w:cs="楷体_GB2312"/>
          <w:b/>
          <w:bCs/>
          <w:color w:val="333333"/>
          <w:sz w:val="28"/>
          <w:szCs w:val="28"/>
          <w:shd w:val="clear" w:color="auto" w:fill="FFFFFF"/>
        </w:rPr>
        <w:t>沿线尾矿库企业监管，降低水环境风险。</w:t>
      </w:r>
      <w:r>
        <w:rPr>
          <w:rFonts w:hint="eastAsia" w:ascii="宋体" w:hAnsi="宋体" w:cs="宋体"/>
          <w:bCs/>
          <w:sz w:val="28"/>
          <w:szCs w:val="28"/>
        </w:rPr>
        <w:t>落实企业环境安全管理主体责任，推进企业建立相关制度，编制应急预案、开展应急演练和人员培训，做好环境应急物资储备，提高尾矿库企业的风险防控能力，确保环境安全。</w:t>
      </w:r>
    </w:p>
    <w:p>
      <w:pPr>
        <w:adjustRightInd w:val="0"/>
        <w:spacing w:line="360" w:lineRule="auto"/>
        <w:ind w:firstLine="562" w:firstLineChars="200"/>
        <w:rPr>
          <w:rFonts w:hint="eastAsia" w:ascii="宋体" w:hAnsi="宋体" w:cs="宋体"/>
          <w:bCs/>
          <w:sz w:val="28"/>
          <w:szCs w:val="28"/>
        </w:rPr>
      </w:pPr>
      <w:r>
        <w:rPr>
          <w:rFonts w:hint="eastAsia" w:ascii="楷体_GB2312" w:hAnsi="楷体_GB2312" w:eastAsia="楷体_GB2312" w:cs="楷体_GB2312"/>
          <w:b/>
          <w:bCs/>
          <w:color w:val="333333"/>
          <w:sz w:val="28"/>
          <w:szCs w:val="28"/>
          <w:shd w:val="clear" w:color="auto" w:fill="FFFFFF"/>
        </w:rPr>
        <w:t>（</w:t>
      </w:r>
      <w:r>
        <w:rPr>
          <w:rFonts w:hint="eastAsia" w:ascii="楷体_GB2312" w:hAnsi="楷体_GB2312" w:eastAsia="楷体_GB2312" w:cs="楷体_GB2312"/>
          <w:b/>
          <w:bCs/>
          <w:color w:val="333333"/>
          <w:sz w:val="28"/>
          <w:szCs w:val="28"/>
          <w:shd w:val="clear" w:color="auto" w:fill="FFFFFF"/>
          <w:lang w:val="en-US" w:eastAsia="zh-CN"/>
        </w:rPr>
        <w:t>二</w:t>
      </w:r>
      <w:r>
        <w:rPr>
          <w:rFonts w:hint="eastAsia" w:ascii="楷体_GB2312" w:hAnsi="楷体_GB2312" w:eastAsia="楷体_GB2312" w:cs="楷体_GB2312"/>
          <w:b/>
          <w:bCs/>
          <w:color w:val="333333"/>
          <w:sz w:val="28"/>
          <w:szCs w:val="28"/>
          <w:shd w:val="clear" w:color="auto" w:fill="FFFFFF"/>
        </w:rPr>
        <w:t>）区域联动，协同推进流域综合整治工作。</w:t>
      </w:r>
      <w:r>
        <w:rPr>
          <w:rFonts w:hint="eastAsia" w:ascii="宋体" w:hAnsi="宋体" w:cs="宋体"/>
          <w:bCs/>
          <w:sz w:val="28"/>
          <w:szCs w:val="28"/>
          <w:lang w:eastAsia="zh-CN"/>
        </w:rPr>
        <w:t>针对跨市的汇水范围，</w:t>
      </w:r>
      <w:r>
        <w:rPr>
          <w:rFonts w:hint="eastAsia" w:ascii="宋体" w:hAnsi="宋体" w:cs="宋体"/>
          <w:bCs/>
          <w:sz w:val="28"/>
          <w:szCs w:val="28"/>
        </w:rPr>
        <w:t>秉持重点流域治理的区域联动机制，</w:t>
      </w:r>
      <w:r>
        <w:rPr>
          <w:rFonts w:hint="eastAsia" w:ascii="宋体" w:hAnsi="宋体" w:cs="宋体"/>
          <w:bCs/>
          <w:sz w:val="28"/>
          <w:szCs w:val="28"/>
          <w:lang w:eastAsia="zh-CN"/>
        </w:rPr>
        <w:t>积极</w:t>
      </w:r>
      <w:r>
        <w:rPr>
          <w:rFonts w:hint="eastAsia" w:ascii="宋体" w:hAnsi="宋体" w:cs="宋体"/>
          <w:bCs/>
          <w:sz w:val="28"/>
          <w:szCs w:val="28"/>
        </w:rPr>
        <w:t>协同配合</w:t>
      </w:r>
      <w:r>
        <w:rPr>
          <w:rFonts w:hint="eastAsia" w:ascii="宋体" w:hAnsi="宋体" w:cs="宋体"/>
          <w:bCs/>
          <w:sz w:val="28"/>
          <w:szCs w:val="28"/>
          <w:lang w:eastAsia="zh-CN"/>
        </w:rPr>
        <w:t>其他地区</w:t>
      </w:r>
      <w:r>
        <w:rPr>
          <w:rFonts w:hint="eastAsia" w:ascii="宋体" w:hAnsi="宋体" w:cs="宋体"/>
          <w:bCs/>
          <w:sz w:val="28"/>
          <w:szCs w:val="28"/>
        </w:rPr>
        <w:t>开展流域综合整治工作。</w:t>
      </w:r>
    </w:p>
    <w:p>
      <w:pPr>
        <w:pStyle w:val="3"/>
        <w:adjustRightInd w:val="0"/>
        <w:spacing w:beforeLines="100" w:afterLines="100" w:line="600" w:lineRule="exact"/>
        <w:ind w:left="0" w:leftChars="0"/>
        <w:jc w:val="center"/>
        <w:outlineLvl w:val="0"/>
        <w:rPr>
          <w:rFonts w:hint="eastAsia" w:ascii="黑体" w:hAnsi="黑体" w:eastAsia="黑体" w:cs="Times New Roman"/>
          <w:sz w:val="44"/>
          <w:szCs w:val="44"/>
          <w:lang w:val="en-US" w:eastAsia="zh-CN"/>
        </w:rPr>
      </w:pPr>
      <w:bookmarkStart w:id="23" w:name="_Toc4168"/>
    </w:p>
    <w:p>
      <w:pPr>
        <w:pStyle w:val="3"/>
        <w:adjustRightInd w:val="0"/>
        <w:spacing w:beforeLines="100" w:afterLines="100" w:line="600" w:lineRule="exact"/>
        <w:ind w:left="0" w:leftChars="0"/>
        <w:jc w:val="center"/>
        <w:outlineLvl w:val="0"/>
        <w:rPr>
          <w:rFonts w:hint="eastAsia" w:ascii="黑体" w:hAnsi="黑体" w:eastAsia="黑体" w:cs="Times New Roman"/>
          <w:sz w:val="44"/>
          <w:szCs w:val="44"/>
          <w:lang w:eastAsia="zh-CN"/>
        </w:rPr>
      </w:pPr>
      <w:bookmarkStart w:id="24" w:name="_Toc2784"/>
      <w:r>
        <w:rPr>
          <w:rFonts w:hint="eastAsia" w:ascii="黑体" w:hAnsi="黑体" w:eastAsia="黑体" w:cs="Times New Roman"/>
          <w:sz w:val="44"/>
          <w:szCs w:val="44"/>
          <w:lang w:val="en-US" w:eastAsia="zh-CN"/>
        </w:rPr>
        <w:t xml:space="preserve">第四章 </w:t>
      </w:r>
      <w:bookmarkEnd w:id="23"/>
      <w:bookmarkStart w:id="25" w:name="_Toc14938"/>
      <w:r>
        <w:rPr>
          <w:rFonts w:hint="eastAsia" w:ascii="黑体" w:hAnsi="黑体" w:eastAsia="黑体" w:cs="Times New Roman"/>
          <w:sz w:val="44"/>
          <w:szCs w:val="44"/>
          <w:lang w:val="en-US" w:eastAsia="zh-CN"/>
        </w:rPr>
        <w:t xml:space="preserve"> </w:t>
      </w:r>
      <w:bookmarkEnd w:id="25"/>
      <w:r>
        <w:rPr>
          <w:rFonts w:hint="eastAsia" w:ascii="黑体" w:hAnsi="黑体" w:eastAsia="黑体" w:cs="Times New Roman"/>
          <w:sz w:val="44"/>
          <w:szCs w:val="44"/>
          <w:lang w:eastAsia="zh-CN"/>
        </w:rPr>
        <w:t>重大工程</w:t>
      </w:r>
      <w:bookmarkEnd w:id="24"/>
    </w:p>
    <w:p>
      <w:pPr>
        <w:adjustRightInd w:val="0"/>
        <w:spacing w:line="360" w:lineRule="auto"/>
        <w:ind w:firstLine="560" w:firstLineChars="200"/>
        <w:rPr>
          <w:rFonts w:hint="eastAsia" w:ascii="宋体" w:hAnsi="宋体" w:cs="宋体"/>
          <w:bCs/>
          <w:sz w:val="28"/>
          <w:szCs w:val="28"/>
          <w:lang w:eastAsia="zh-CN"/>
        </w:rPr>
      </w:pPr>
      <w:bookmarkStart w:id="26" w:name="_Toc17566"/>
      <w:r>
        <w:rPr>
          <w:rFonts w:hint="eastAsia" w:ascii="宋体" w:hAnsi="宋体" w:cs="宋体"/>
          <w:bCs/>
          <w:sz w:val="28"/>
          <w:szCs w:val="28"/>
          <w:lang w:eastAsia="zh-CN"/>
        </w:rPr>
        <w:t>实施截污、控污、治污多措并举，加强入河排污口管控，着力加强水生态保护治理，强化松花江流域风险防控，注重保护和治理的系统性、整体性、协同性，坚持生态优先、绿色发展，促进全流域高质量发展。</w:t>
      </w:r>
      <w:bookmarkEnd w:id="26"/>
    </w:p>
    <w:p>
      <w:pPr>
        <w:adjustRightInd w:val="0"/>
        <w:spacing w:line="360" w:lineRule="auto"/>
        <w:ind w:firstLine="560" w:firstLineChars="200"/>
        <w:rPr>
          <w:rFonts w:hint="eastAsia" w:ascii="宋体" w:hAnsi="宋体" w:cs="宋体"/>
          <w:bCs/>
          <w:sz w:val="28"/>
          <w:szCs w:val="28"/>
        </w:rPr>
      </w:pPr>
      <w:bookmarkStart w:id="27" w:name="_Toc12139"/>
      <w:r>
        <w:rPr>
          <w:rFonts w:hint="eastAsia" w:ascii="宋体" w:hAnsi="宋体" w:cs="宋体"/>
          <w:bCs/>
          <w:sz w:val="28"/>
          <w:szCs w:val="28"/>
        </w:rPr>
        <w:t>推进乡镇污水处理设施建设，完善污水管网体系。推进</w:t>
      </w:r>
      <w:r>
        <w:rPr>
          <w:rFonts w:hint="eastAsia" w:ascii="宋体" w:hAnsi="宋体" w:cs="宋体"/>
          <w:bCs/>
          <w:sz w:val="28"/>
          <w:szCs w:val="28"/>
          <w:lang w:eastAsia="zh-CN"/>
        </w:rPr>
        <w:t>黄松甸镇、庆岭镇、松江镇、天北镇</w:t>
      </w:r>
      <w:r>
        <w:rPr>
          <w:rFonts w:hint="eastAsia" w:ascii="宋体" w:hAnsi="宋体" w:cs="宋体"/>
          <w:bCs/>
          <w:sz w:val="28"/>
          <w:szCs w:val="28"/>
        </w:rPr>
        <w:t>乡镇污水收集管网及集中处理设施建设，提高污水收集率和处理率，保证污水厂出水水质稳定达到标准要求，减少污染物入河量。</w:t>
      </w:r>
      <w:bookmarkEnd w:id="27"/>
    </w:p>
    <w:p>
      <w:pPr>
        <w:adjustRightInd w:val="0"/>
        <w:spacing w:line="360" w:lineRule="auto"/>
        <w:ind w:firstLine="560" w:firstLineChars="200"/>
        <w:rPr>
          <w:rFonts w:hint="eastAsia" w:ascii="宋体" w:hAnsi="宋体" w:cs="宋体"/>
          <w:bCs/>
          <w:sz w:val="28"/>
          <w:szCs w:val="28"/>
          <w:lang w:val="en-US" w:eastAsia="zh-CN"/>
        </w:rPr>
      </w:pPr>
      <w:bookmarkStart w:id="28" w:name="_Toc29788"/>
      <w:r>
        <w:rPr>
          <w:rFonts w:hint="eastAsia" w:ascii="宋体" w:hAnsi="宋体" w:cs="宋体"/>
          <w:bCs/>
          <w:sz w:val="28"/>
          <w:szCs w:val="28"/>
          <w:lang w:eastAsia="zh-CN"/>
        </w:rPr>
        <w:t>蛟河市重大工程项目共</w:t>
      </w:r>
      <w:r>
        <w:rPr>
          <w:rFonts w:hint="eastAsia" w:ascii="宋体" w:hAnsi="宋体" w:cs="宋体"/>
          <w:bCs/>
          <w:sz w:val="28"/>
          <w:szCs w:val="28"/>
          <w:lang w:val="en-US" w:eastAsia="zh-CN"/>
        </w:rPr>
        <w:t>4个，总投资1.2亿元，工程详情见表4-1。</w:t>
      </w:r>
      <w:bookmarkEnd w:id="28"/>
    </w:p>
    <w:p>
      <w:pPr>
        <w:pStyle w:val="3"/>
        <w:rPr>
          <w:rFonts w:hint="eastAsia" w:ascii="仿宋_GB2312" w:hAnsi="仿宋_GB2312" w:eastAsia="仿宋_GB2312" w:cs="仿宋_GB2312"/>
          <w:sz w:val="32"/>
          <w:szCs w:val="32"/>
          <w:lang w:eastAsia="zh-CN"/>
        </w:rPr>
      </w:pPr>
    </w:p>
    <w:p>
      <w:pPr>
        <w:rPr>
          <w:rFonts w:hint="eastAsia"/>
          <w:lang w:eastAsia="zh-CN"/>
        </w:rPr>
        <w:sectPr>
          <w:footerReference r:id="rId4" w:type="default"/>
          <w:pgSz w:w="11906" w:h="16838"/>
          <w:pgMar w:top="1440" w:right="1803" w:bottom="1440" w:left="1803" w:header="851" w:footer="992" w:gutter="0"/>
          <w:cols w:space="0" w:num="1"/>
          <w:rtlGutter w:val="0"/>
          <w:docGrid w:type="lines" w:linePitch="319" w:charSpace="0"/>
        </w:sectPr>
      </w:pPr>
    </w:p>
    <w:p>
      <w:pPr>
        <w:snapToGrid w:val="0"/>
        <w:spacing w:beforeLines="50" w:afterLines="50" w:line="600" w:lineRule="exact"/>
        <w:jc w:val="center"/>
        <w:rPr>
          <w:rFonts w:hint="eastAsia" w:ascii="宋体" w:hAnsi="宋体" w:cs="宋体"/>
          <w:b/>
          <w:kern w:val="0"/>
          <w:sz w:val="28"/>
          <w:szCs w:val="28"/>
          <w:lang w:eastAsia="zh-CN"/>
        </w:rPr>
      </w:pPr>
      <w:r>
        <w:rPr>
          <w:rFonts w:hint="eastAsia" w:ascii="宋体" w:hAnsi="宋体" w:cs="宋体"/>
          <w:b/>
          <w:kern w:val="0"/>
          <w:sz w:val="28"/>
          <w:szCs w:val="28"/>
          <w:lang w:eastAsia="zh-CN"/>
        </w:rPr>
        <w:t>表</w:t>
      </w:r>
      <w:r>
        <w:rPr>
          <w:rFonts w:hint="eastAsia" w:ascii="宋体" w:hAnsi="宋体" w:cs="宋体"/>
          <w:b/>
          <w:kern w:val="0"/>
          <w:sz w:val="28"/>
          <w:szCs w:val="28"/>
          <w:lang w:val="en-US" w:eastAsia="zh-CN"/>
        </w:rPr>
        <w:t xml:space="preserve">4-1 </w:t>
      </w:r>
      <w:r>
        <w:rPr>
          <w:rFonts w:hint="eastAsia" w:ascii="宋体" w:hAnsi="宋体" w:cs="宋体"/>
          <w:b/>
          <w:kern w:val="0"/>
          <w:sz w:val="28"/>
          <w:szCs w:val="28"/>
          <w:lang w:eastAsia="zh-CN"/>
        </w:rPr>
        <w:t>蛟河市水生态环境保护重大工程项目情况表</w:t>
      </w:r>
    </w:p>
    <w:tbl>
      <w:tblPr>
        <w:tblStyle w:val="1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2"/>
        <w:gridCol w:w="555"/>
        <w:gridCol w:w="738"/>
        <w:gridCol w:w="739"/>
        <w:gridCol w:w="738"/>
        <w:gridCol w:w="740"/>
        <w:gridCol w:w="1353"/>
        <w:gridCol w:w="4145"/>
        <w:gridCol w:w="776"/>
        <w:gridCol w:w="738"/>
        <w:gridCol w:w="899"/>
        <w:gridCol w:w="578"/>
        <w:gridCol w:w="842"/>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省份</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地市</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区县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国控断面汇水范围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项目概况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投资（万元）</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项目大类</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项目细类</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完成年限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责任主体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黄松甸镇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蛟河蛟河口/民主断面汇水区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黄松甸镇乡镇污水处理设施建设项目</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新建1座污水处理厂，处理规模为400t/d，污水管网11km。厂区占地面积2000㎡，采用改良A</w:t>
            </w:r>
            <w:r>
              <w:rPr>
                <w:rStyle w:val="28"/>
                <w:sz w:val="18"/>
                <w:szCs w:val="18"/>
                <w:lang w:val="en-US" w:eastAsia="zh-CN" w:bidi="ar"/>
              </w:rPr>
              <w:t>2</w:t>
            </w:r>
            <w:r>
              <w:rPr>
                <w:rFonts w:hint="eastAsia" w:ascii="宋体" w:hAnsi="宋体" w:eastAsia="宋体" w:cs="宋体"/>
                <w:i w:val="0"/>
                <w:color w:val="000000"/>
                <w:kern w:val="0"/>
                <w:sz w:val="18"/>
                <w:szCs w:val="18"/>
                <w:u w:val="none"/>
                <w:lang w:val="en-US" w:eastAsia="zh-CN" w:bidi="ar"/>
              </w:rPr>
              <w:t>/O和深度处理工艺，出水达到《城镇污水处理厂污染物排放标准（GB18918-2002）一级标准中的A类标准。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3872.53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城镇污水处理及管网建设</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城镇污水处理设施建设与改造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污染减排</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松江镇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松花湖桦树林、小荒地、沙石浒、大丰满断面汇水区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蛟河市松江镇污水处理设施建设项目</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松江镇新建1座污水处理厂，处理规模为110t/d，厂区占地面积2000㎡，新建污水管网5.4km。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城镇污水处理及管网建设</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城镇污水处理设施建设与改造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污染减排</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2023-2025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庆岭镇</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蛟河市庆岭镇污水处理设施建设项目</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庆岭镇新建1座污水处理厂，处理规模为100t/d，厂区占地面积1000㎡，采用改良A2/O和深度处理工艺，出水达到《城镇污水处理厂污染物排放标准（GB18918-2002）一级标准中的A类标准。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2173.48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城镇污水处理及管网建设</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城镇污水处理设施建设与改造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污染减排</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2021-2022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天北镇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松花江白旗断面汇水区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天北镇污水处理设施建设项目</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项目概况：新建1座污水处理厂，处理规模为240t/d，厂区占地面积2000㎡，采用改良A</w:t>
            </w:r>
            <w:r>
              <w:rPr>
                <w:rStyle w:val="28"/>
                <w:sz w:val="18"/>
                <w:szCs w:val="18"/>
                <w:lang w:val="en-US" w:eastAsia="zh-CN" w:bidi="ar"/>
              </w:rPr>
              <w:t>2</w:t>
            </w:r>
            <w:r>
              <w:rPr>
                <w:rFonts w:hint="eastAsia" w:ascii="宋体" w:hAnsi="宋体" w:eastAsia="宋体" w:cs="宋体"/>
                <w:i w:val="0"/>
                <w:color w:val="000000"/>
                <w:kern w:val="0"/>
                <w:sz w:val="18"/>
                <w:szCs w:val="18"/>
                <w:u w:val="none"/>
                <w:lang w:val="en-US" w:eastAsia="zh-CN" w:bidi="ar"/>
              </w:rPr>
              <w:t>/O和深度处理工艺，出水达到《城镇污水处理厂污染物排放标准（GB18918-2002）一级标准中的A类标准。新建建制镇污水管网4.74km。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城镇污水处理及管网建设</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城镇污水处理设施建设与改造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污染减排</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2023-2025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蛟河市政府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12046.01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pPr>
        <w:pStyle w:val="2"/>
        <w:rPr>
          <w:rFonts w:hint="default"/>
          <w:lang w:val="en-US" w:eastAsia="zh-CN"/>
        </w:rPr>
      </w:pPr>
    </w:p>
    <w:p>
      <w:pPr>
        <w:pStyle w:val="3"/>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pPr>
        <w:pStyle w:val="3"/>
        <w:adjustRightInd w:val="0"/>
        <w:spacing w:beforeLines="100" w:afterLines="100" w:line="600" w:lineRule="exact"/>
        <w:ind w:left="0" w:leftChars="0"/>
        <w:jc w:val="center"/>
        <w:outlineLvl w:val="0"/>
        <w:rPr>
          <w:rFonts w:hint="eastAsia" w:ascii="黑体" w:hAnsi="黑体" w:eastAsia="黑体" w:cs="Times New Roman"/>
          <w:sz w:val="44"/>
          <w:szCs w:val="44"/>
        </w:rPr>
      </w:pPr>
      <w:bookmarkStart w:id="29" w:name="_Toc23273"/>
      <w:bookmarkStart w:id="30" w:name="_Toc17506"/>
      <w:r>
        <w:rPr>
          <w:rFonts w:hint="eastAsia" w:ascii="黑体" w:hAnsi="黑体" w:eastAsia="黑体" w:cs="Times New Roman"/>
          <w:sz w:val="44"/>
          <w:szCs w:val="44"/>
        </w:rPr>
        <w:t>第</w:t>
      </w:r>
      <w:r>
        <w:rPr>
          <w:rFonts w:hint="eastAsia" w:ascii="黑体" w:hAnsi="黑体" w:eastAsia="黑体" w:cs="Times New Roman"/>
          <w:sz w:val="44"/>
          <w:szCs w:val="44"/>
          <w:lang w:eastAsia="zh-CN"/>
        </w:rPr>
        <w:t>五</w:t>
      </w:r>
      <w:r>
        <w:rPr>
          <w:rFonts w:hint="eastAsia" w:ascii="黑体" w:hAnsi="黑体" w:eastAsia="黑体" w:cs="Times New Roman"/>
          <w:sz w:val="44"/>
          <w:szCs w:val="44"/>
        </w:rPr>
        <w:t>章</w:t>
      </w:r>
      <w:r>
        <w:rPr>
          <w:rFonts w:hint="eastAsia" w:ascii="黑体" w:hAnsi="黑体" w:eastAsia="黑体" w:cs="Times New Roman"/>
          <w:sz w:val="44"/>
          <w:szCs w:val="44"/>
          <w:lang w:val="en-US" w:eastAsia="zh-CN"/>
        </w:rPr>
        <w:t xml:space="preserve"> </w:t>
      </w:r>
      <w:r>
        <w:rPr>
          <w:rFonts w:hint="eastAsia" w:ascii="黑体" w:hAnsi="黑体" w:eastAsia="黑体" w:cs="Times New Roman"/>
          <w:sz w:val="44"/>
          <w:szCs w:val="44"/>
        </w:rPr>
        <w:t>保障措施</w:t>
      </w:r>
      <w:bookmarkEnd w:id="29"/>
      <w:bookmarkEnd w:id="30"/>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各级党委政府、各部门要把生态环境保护放在各项工作的重要位置，建立健全保障机制，层层抓落实，确保规划目标和各项重点任务顺利完成。</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31" w:name="_Toc14545"/>
      <w:r>
        <w:rPr>
          <w:rFonts w:hint="eastAsia" w:ascii="黑体" w:hAnsi="黑体" w:eastAsia="黑体" w:cs="黑体"/>
          <w:color w:val="333333"/>
          <w:sz w:val="28"/>
          <w:szCs w:val="28"/>
          <w:shd w:val="clear" w:color="auto" w:fill="FFFFFF"/>
          <w:lang w:val="en-US" w:eastAsia="zh-CN"/>
        </w:rPr>
        <w:t>一、组织领导</w:t>
      </w:r>
      <w:bookmarkEnd w:id="31"/>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各级政府是规划实施的“第一责任人”，对落实规划负总责，确保生态环境质量只能更好、不能变坏。各职能部门按照生态环境监管职责，抓好本行业、本系统的规划落实工作。各乡镇、街道细化部门实施规划责任，制定生态环境保护年度工作计划和措施清单，每年向本级政府报告落实情况。</w:t>
      </w:r>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把规划执行情况作为领导干部综合考核评价的重要内容，确保全面完成各项任务。各级党委政府加强组织领导，实施党委统一领导、政府组织实施、部门分工负责、乡村合力攻坚的工作推进机制，及时解决突出问题，加大投资，确保措施落地可行、责任到人。</w:t>
      </w:r>
    </w:p>
    <w:p>
      <w:pPr>
        <w:adjustRightInd w:val="0"/>
        <w:spacing w:line="576" w:lineRule="exact"/>
        <w:ind w:firstLine="560" w:firstLineChars="200"/>
        <w:rPr>
          <w:rFonts w:hint="eastAsia"/>
        </w:rPr>
      </w:pPr>
      <w:r>
        <w:rPr>
          <w:rFonts w:hint="eastAsia" w:ascii="宋体" w:hAnsi="宋体" w:cs="宋体"/>
          <w:bCs/>
          <w:sz w:val="28"/>
          <w:szCs w:val="28"/>
          <w:lang w:val="en-US" w:eastAsia="zh-CN"/>
        </w:rPr>
        <w:t>建立全市生态环境保护工作协调机制，定期研究解决重大生态环境问题。各有关部门要各司其职，履行好生态环境保护职责，按照管发展、管行业、管生产经营、管自然资源资产必须管环保的“一岗双责”要求抓好生态环境保护工作。生态环境部门要定期调度并向政府报告规划主要指标和重大任务实施进展情况。</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32" w:name="_Toc10946"/>
      <w:r>
        <w:rPr>
          <w:rFonts w:hint="eastAsia" w:ascii="黑体" w:hAnsi="黑体" w:eastAsia="黑体" w:cs="黑体"/>
          <w:color w:val="333333"/>
          <w:sz w:val="28"/>
          <w:szCs w:val="28"/>
          <w:shd w:val="clear" w:color="auto" w:fill="FFFFFF"/>
          <w:lang w:val="en-US" w:eastAsia="zh-CN"/>
        </w:rPr>
        <w:t>二、法规标准</w:t>
      </w:r>
      <w:bookmarkEnd w:id="32"/>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加快推进重点行业、领域生态环境地方标准和相关规范的制定修订工作，积极配合省生态环境厅完成《吉林省地表水功能区》修订工作，研究制定环境影响后评价、排污口规范化管理等技术规范，提升科学治理能力，完善制度保障体系。</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33" w:name="_Toc4318"/>
      <w:r>
        <w:rPr>
          <w:rFonts w:hint="eastAsia" w:ascii="黑体" w:hAnsi="黑体" w:eastAsia="黑体" w:cs="黑体"/>
          <w:color w:val="333333"/>
          <w:sz w:val="28"/>
          <w:szCs w:val="28"/>
          <w:shd w:val="clear" w:color="auto" w:fill="FFFFFF"/>
          <w:lang w:val="en-US" w:eastAsia="zh-CN"/>
        </w:rPr>
        <w:t>三、经济政策</w:t>
      </w:r>
      <w:bookmarkEnd w:id="33"/>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统筹各类专项资金，向水环境治理、水生态环境综合整治倾斜，加大污水处理等城市基础设施、河湖保护修复、饮用水源地保护等方面的投入力度，对资源节约和循环利用、水环境基础设施建设、水生态修复与建设、先进适用技术研发示范等给予支持。</w:t>
      </w:r>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创新水环境保护领域财政资金支出方式，切实提高资金执行率，提升资金使用效益，推广竞争性申报评审方式，逐步从“补建设”向“补运营”、“事前补助”向“事后奖补”转变。积极推行政府和社会资本合作，采取新型融资模式，通过发行专项债券、采用PPP模式，引导金融机构、企业、社会捐赠资金等增加投入，支持经营性、准公益性、公益性环境保护项目。</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34" w:name="_Toc19951"/>
      <w:r>
        <w:rPr>
          <w:rFonts w:hint="eastAsia" w:ascii="黑体" w:hAnsi="黑体" w:eastAsia="黑体" w:cs="黑体"/>
          <w:color w:val="333333"/>
          <w:sz w:val="28"/>
          <w:szCs w:val="28"/>
          <w:shd w:val="clear" w:color="auto" w:fill="FFFFFF"/>
          <w:lang w:val="en-US" w:eastAsia="zh-CN"/>
        </w:rPr>
        <w:t>四、科技支撑</w:t>
      </w:r>
      <w:bookmarkEnd w:id="34"/>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加大科技投入，联合国家和地方以及企业科技力量，重点集成现有成熟的科技成果和技术方法，升级水生态环境保护技术模式，用科学思维、科技手段，提高治污效果和效率，解决面临的复杂环境问题。</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35" w:name="_Toc7940"/>
      <w:r>
        <w:rPr>
          <w:rFonts w:hint="eastAsia" w:ascii="黑体" w:hAnsi="黑体" w:eastAsia="黑体" w:cs="黑体"/>
          <w:color w:val="333333"/>
          <w:sz w:val="28"/>
          <w:szCs w:val="28"/>
          <w:shd w:val="clear" w:color="auto" w:fill="FFFFFF"/>
          <w:lang w:val="en-US" w:eastAsia="zh-CN"/>
        </w:rPr>
        <w:t>五、监督管理</w:t>
      </w:r>
      <w:bookmarkEnd w:id="35"/>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强化水生态环境保护的“外部鞭策”，落实规划实施情况的监督、考核与责任追究制度，把中期评估、末期考核的结果作为领导班子和领导干部综合考核评价、奖惩任免的重要依据，对水污染防治责任落实不到位的乡镇、街道党政主要负责人开展约谈、问责等，督促地方党政领导切实担负起水污染防治的主体责任。</w:t>
      </w:r>
    </w:p>
    <w:p>
      <w:pPr>
        <w:spacing w:line="576" w:lineRule="exact"/>
        <w:ind w:firstLine="560" w:firstLineChars="200"/>
        <w:outlineLvl w:val="1"/>
        <w:rPr>
          <w:rFonts w:hint="eastAsia" w:ascii="黑体" w:hAnsi="黑体" w:eastAsia="黑体" w:cs="黑体"/>
          <w:color w:val="333333"/>
          <w:sz w:val="28"/>
          <w:szCs w:val="28"/>
          <w:shd w:val="clear" w:color="auto" w:fill="FFFFFF"/>
          <w:lang w:val="en-US" w:eastAsia="zh-CN"/>
        </w:rPr>
      </w:pPr>
      <w:bookmarkStart w:id="36" w:name="_Toc20382"/>
      <w:r>
        <w:rPr>
          <w:rFonts w:hint="eastAsia" w:ascii="黑体" w:hAnsi="黑体" w:eastAsia="黑体" w:cs="黑体"/>
          <w:color w:val="333333"/>
          <w:sz w:val="28"/>
          <w:szCs w:val="28"/>
          <w:shd w:val="clear" w:color="auto" w:fill="FFFFFF"/>
          <w:lang w:val="en-US" w:eastAsia="zh-CN"/>
        </w:rPr>
        <w:t>六、公众参与</w:t>
      </w:r>
      <w:bookmarkEnd w:id="36"/>
    </w:p>
    <w:p>
      <w:pPr>
        <w:adjustRightInd w:val="0"/>
        <w:spacing w:line="576"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建立公众参与环境管理决策的有效渠道和合理机制，鼓励公众对政府环保工作、企业排污行为进行监督，提高公众参与水平。建立环保社会组织交流平台，积极发挥民间组织和志愿者作用，对污染环境、破坏生态的行为，有关组织依法提起公益诉讼，支持公众和环保团体有序参与、有序保护、有序维权。</w:t>
      </w:r>
    </w:p>
    <w:p>
      <w:pPr>
        <w:pStyle w:val="2"/>
        <w:rPr>
          <w:rFonts w:hint="eastAsia"/>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ESRI AMFM Electric">
    <w:altName w:val="Segoe UI Semilight"/>
    <w:panose1 w:val="02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五">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FJOGGJ+TimesNewRoman,Bold">
    <w:altName w:val="宋体"/>
    <w:panose1 w:val="00000000000000000000"/>
    <w:charset w:val="86"/>
    <w:family w:val="roman"/>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KaiTi_GB2312">
    <w:altName w:val="Segoe Print"/>
    <w:panose1 w:val="02010609060101010101"/>
    <w:charset w:val="00"/>
    <w:family w:val="roman"/>
    <w:pitch w:val="default"/>
    <w:sig w:usb0="00000000" w:usb1="00000000" w:usb2="00000000" w:usb3="00000000" w:csb0="00000000" w:csb1="00000000"/>
  </w:font>
  <w:font w:name="FangSong_GB2312">
    <w:altName w:val="仿宋_GB2312"/>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C4FEA"/>
    <w:multiLevelType w:val="multilevel"/>
    <w:tmpl w:val="73BC4FE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chineseCountingThousand"/>
      <w:suff w:val="nothing"/>
      <w:lvlText w:val="%3、"/>
      <w:lvlJc w:val="left"/>
      <w:pPr>
        <w:ind w:left="0" w:firstLine="0"/>
      </w:pPr>
      <w:rPr>
        <w:rFonts w:hint="eastAsia"/>
        <w:b w:val="0"/>
        <w:bCs w:val="0"/>
        <w:i w:val="0"/>
        <w:iCs w:val="0"/>
        <w:caps w:val="0"/>
        <w:smallCaps w:val="0"/>
        <w:strike w:val="0"/>
        <w:dstrike w:val="0"/>
        <w:vanish w:val="0"/>
        <w:spacing w:val="0"/>
        <w:position w:val="0"/>
        <w:u w:val="none"/>
        <w:vertAlign w:val="baseline"/>
      </w:rPr>
    </w:lvl>
    <w:lvl w:ilvl="3" w:tentative="0">
      <w:start w:val="1"/>
      <w:numFmt w:val="chineseCountingThousand"/>
      <w:pStyle w:val="23"/>
      <w:suff w:val="nothing"/>
      <w:lvlText w:val="（%4）"/>
      <w:lvlJc w:val="left"/>
      <w:pPr>
        <w:ind w:left="0" w:firstLine="0"/>
      </w:pPr>
      <w:rPr>
        <w:rFonts w:hint="eastAsia"/>
        <w:lang w:val="en-US"/>
      </w:rPr>
    </w:lvl>
    <w:lvl w:ilvl="4" w:tentative="0">
      <w:start w:val="1"/>
      <w:numFmt w:val="decimal"/>
      <w:suff w:val="space"/>
      <w:lvlText w:val="%5."/>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6797F"/>
    <w:rsid w:val="00A343CA"/>
    <w:rsid w:val="00D12E42"/>
    <w:rsid w:val="02EC6CFD"/>
    <w:rsid w:val="094771DB"/>
    <w:rsid w:val="0BAB7680"/>
    <w:rsid w:val="0BCB4501"/>
    <w:rsid w:val="12D938F5"/>
    <w:rsid w:val="19322E50"/>
    <w:rsid w:val="19CC2D5C"/>
    <w:rsid w:val="1FCD6B0F"/>
    <w:rsid w:val="240D54EC"/>
    <w:rsid w:val="27437E2A"/>
    <w:rsid w:val="275E0056"/>
    <w:rsid w:val="29F6797F"/>
    <w:rsid w:val="2C6F5EEB"/>
    <w:rsid w:val="2FFE2236"/>
    <w:rsid w:val="3B1E66D8"/>
    <w:rsid w:val="3BED6112"/>
    <w:rsid w:val="42594917"/>
    <w:rsid w:val="42E710D2"/>
    <w:rsid w:val="45A14E17"/>
    <w:rsid w:val="51323C5F"/>
    <w:rsid w:val="549A0456"/>
    <w:rsid w:val="5A0835F4"/>
    <w:rsid w:val="5D921194"/>
    <w:rsid w:val="5E194925"/>
    <w:rsid w:val="63C76A96"/>
    <w:rsid w:val="686701C0"/>
    <w:rsid w:val="6C194531"/>
    <w:rsid w:val="6C884D54"/>
    <w:rsid w:val="6D00168C"/>
    <w:rsid w:val="6E1304AC"/>
    <w:rsid w:val="6E2D7E98"/>
    <w:rsid w:val="6ECA01D0"/>
    <w:rsid w:val="6F171149"/>
    <w:rsid w:val="74B1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kern w:val="0"/>
      <w:sz w:val="18"/>
      <w:szCs w:val="18"/>
    </w:rPr>
  </w:style>
  <w:style w:type="paragraph" w:styleId="3">
    <w:name w:val="index 5"/>
    <w:basedOn w:val="1"/>
    <w:next w:val="1"/>
    <w:qFormat/>
    <w:uiPriority w:val="0"/>
    <w:pPr>
      <w:ind w:left="800" w:leftChars="800"/>
    </w:pPr>
  </w:style>
  <w:style w:type="paragraph" w:styleId="4">
    <w:name w:val="Normal Indent"/>
    <w:basedOn w:val="1"/>
    <w:qFormat/>
    <w:uiPriority w:val="0"/>
    <w:pPr>
      <w:tabs>
        <w:tab w:val="left" w:pos="3638"/>
      </w:tabs>
      <w:adjustRightInd w:val="0"/>
      <w:snapToGrid w:val="0"/>
      <w:spacing w:line="360" w:lineRule="auto"/>
      <w:ind w:left="906" w:firstLine="420" w:firstLineChars="200"/>
    </w:pPr>
    <w:rPr>
      <w:rFonts w:ascii="宋体" w:hAnsi="宋体" w:eastAsia="宋体" w:cs="Times New Roman"/>
      <w:b/>
      <w:sz w:val="94"/>
      <w:szCs w:val="94"/>
    </w:rPr>
  </w:style>
  <w:style w:type="paragraph" w:styleId="5">
    <w:name w:val="annotation text"/>
    <w:basedOn w:val="1"/>
    <w:unhideWhenUsed/>
    <w:qFormat/>
    <w:uiPriority w:val="0"/>
    <w:pPr>
      <w:jc w:val="left"/>
    </w:pPr>
  </w:style>
  <w:style w:type="paragraph" w:styleId="6">
    <w:name w:val="toc 3"/>
    <w:basedOn w:val="1"/>
    <w:next w:val="1"/>
    <w:qFormat/>
    <w:uiPriority w:val="0"/>
    <w:pPr>
      <w:ind w:left="840" w:leftChars="400"/>
    </w:p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Body Text First Indent 2"/>
    <w:qFormat/>
    <w:uiPriority w:val="0"/>
    <w:pPr>
      <w:adjustRightInd w:val="0"/>
      <w:snapToGrid w:val="0"/>
      <w:spacing w:line="360" w:lineRule="auto"/>
      <w:ind w:firstLine="200" w:firstLineChars="200"/>
    </w:pPr>
    <w:rPr>
      <w:rFonts w:ascii="Times New Roman" w:hAnsi="Times New Roman" w:eastAsia="宋体" w:cstheme="minorBidi"/>
      <w:kern w:val="2"/>
      <w:sz w:val="24"/>
      <w:szCs w:val="21"/>
      <w:lang w:val="en-US" w:eastAsia="zh-CN" w:bidi="ar-SA"/>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Lines="10" w:afterLines="10"/>
    </w:pPr>
    <w:rPr>
      <w:sz w:val="28"/>
    </w:rPr>
  </w:style>
  <w:style w:type="paragraph" w:styleId="11">
    <w:name w:val="toc 2"/>
    <w:basedOn w:val="1"/>
    <w:next w:val="1"/>
    <w:qFormat/>
    <w:uiPriority w:val="0"/>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8"/>
      <w:szCs w:val="18"/>
      <w:lang w:val="en-US" w:eastAsia="zh-CN" w:bidi="ar"/>
    </w:rPr>
  </w:style>
  <w:style w:type="character" w:styleId="14">
    <w:name w:val="Strong"/>
    <w:basedOn w:val="13"/>
    <w:qFormat/>
    <w:uiPriority w:val="0"/>
    <w:rPr>
      <w:b/>
    </w:rPr>
  </w:style>
  <w:style w:type="character" w:styleId="15">
    <w:name w:val="FollowedHyperlink"/>
    <w:basedOn w:val="13"/>
    <w:qFormat/>
    <w:uiPriority w:val="0"/>
    <w:rPr>
      <w:color w:val="800080"/>
      <w:u w:val="none"/>
    </w:rPr>
  </w:style>
  <w:style w:type="character" w:styleId="16">
    <w:name w:val="Hyperlink"/>
    <w:basedOn w:val="13"/>
    <w:qFormat/>
    <w:uiPriority w:val="0"/>
    <w:rPr>
      <w:color w:val="0000FF"/>
      <w:u w:val="none"/>
    </w:rPr>
  </w:style>
  <w:style w:type="table" w:styleId="18">
    <w:name w:val="Table Grid"/>
    <w:basedOn w:val="17"/>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font11"/>
    <w:basedOn w:val="13"/>
    <w:qFormat/>
    <w:uiPriority w:val="0"/>
    <w:rPr>
      <w:rFonts w:hint="eastAsia" w:ascii="宋体" w:hAnsi="宋体" w:eastAsia="宋体" w:cs="宋体"/>
      <w:color w:val="000000"/>
      <w:sz w:val="21"/>
      <w:szCs w:val="21"/>
      <w:u w:val="none"/>
      <w:vertAlign w:val="superscript"/>
    </w:rPr>
  </w:style>
  <w:style w:type="character" w:customStyle="1" w:styleId="20">
    <w:name w:val="font21"/>
    <w:basedOn w:val="13"/>
    <w:qFormat/>
    <w:uiPriority w:val="0"/>
    <w:rPr>
      <w:rFonts w:hint="eastAsia" w:ascii="宋体" w:hAnsi="宋体" w:eastAsia="宋体" w:cs="宋体"/>
      <w:color w:val="000000"/>
      <w:sz w:val="21"/>
      <w:szCs w:val="21"/>
      <w:u w:val="none"/>
    </w:rPr>
  </w:style>
  <w:style w:type="paragraph" w:customStyle="1" w:styleId="21">
    <w:name w:val="标准文字"/>
    <w:basedOn w:val="1"/>
    <w:qFormat/>
    <w:uiPriority w:val="0"/>
    <w:pPr>
      <w:overflowPunct w:val="0"/>
      <w:spacing w:line="360" w:lineRule="auto"/>
      <w:ind w:firstLine="640" w:firstLineChars="200"/>
    </w:pPr>
    <w:rPr>
      <w:rFonts w:eastAsia="仿宋_GB2312"/>
      <w:sz w:val="32"/>
      <w:szCs w:val="32"/>
    </w:rPr>
  </w:style>
  <w:style w:type="paragraph" w:customStyle="1" w:styleId="22">
    <w:name w:val="S-表中文字"/>
    <w:qFormat/>
    <w:uiPriority w:val="6"/>
    <w:pPr>
      <w:jc w:val="center"/>
    </w:pPr>
    <w:rPr>
      <w:rFonts w:ascii="仿宋_GB2312" w:hAnsi="Times New Roman" w:eastAsia="仿宋_GB2312" w:cs="Times New Roman"/>
      <w:kern w:val="2"/>
      <w:sz w:val="24"/>
      <w:szCs w:val="21"/>
      <w:lang w:val="en-US" w:eastAsia="zh-CN" w:bidi="ar-SA"/>
    </w:rPr>
  </w:style>
  <w:style w:type="paragraph" w:customStyle="1" w:styleId="23">
    <w:name w:val="附件4级"/>
    <w:basedOn w:val="1"/>
    <w:next w:val="21"/>
    <w:qFormat/>
    <w:uiPriority w:val="0"/>
    <w:pPr>
      <w:numPr>
        <w:ilvl w:val="3"/>
        <w:numId w:val="1"/>
      </w:numPr>
      <w:spacing w:line="360" w:lineRule="auto"/>
      <w:outlineLvl w:val="2"/>
    </w:pPr>
    <w:rPr>
      <w:rFonts w:ascii="Arial" w:hAnsi="Arial" w:eastAsia="黑体"/>
      <w:sz w:val="32"/>
    </w:rPr>
  </w:style>
  <w:style w:type="paragraph" w:customStyle="1" w:styleId="24">
    <w:name w:val="M图标题"/>
    <w:basedOn w:val="8"/>
    <w:next w:val="8"/>
    <w:qFormat/>
    <w:uiPriority w:val="0"/>
    <w:pPr>
      <w:ind w:firstLine="482"/>
      <w:jc w:val="center"/>
    </w:pPr>
    <w:rPr>
      <w:b/>
    </w:rPr>
  </w:style>
  <w:style w:type="table" w:customStyle="1" w:styleId="25">
    <w:name w:val="网格型5"/>
    <w:basedOn w:val="17"/>
    <w:qFormat/>
    <w:uiPriority w:val="59"/>
    <w:rPr>
      <w:rFonts w:ascii="Calibri" w:hAnsi="Calibri" w:eastAsia="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5正文"/>
    <w:basedOn w:val="1"/>
    <w:next w:val="1"/>
    <w:qFormat/>
    <w:uiPriority w:val="0"/>
    <w:pPr>
      <w:spacing w:beforeLines="15" w:afterLines="15" w:line="360" w:lineRule="auto"/>
      <w:ind w:firstLine="200" w:firstLineChars="200"/>
    </w:pPr>
    <w:rPr>
      <w:color w:val="000000"/>
      <w:sz w:val="24"/>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character" w:customStyle="1" w:styleId="28">
    <w:name w:val="font01"/>
    <w:basedOn w:val="13"/>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2020-11-24T05:41:00Z</dcterms:created>
  <dc:creator>Administrator</dc:creator>
  <cp:lastModifiedBy>Administrator</cp:lastModifiedBy>
  <dcterms:modified xsi:type="dcterms:W3CDTF">2022-06-30T01:12:48Z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