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8D6" w:rsidRPr="009E18D6" w:rsidRDefault="009E18D6" w:rsidP="009E18D6">
      <w:pPr>
        <w:jc w:val="center"/>
        <w:rPr>
          <w:rFonts w:ascii="仿宋" w:eastAsia="仿宋" w:hAnsi="仿宋"/>
          <w:sz w:val="32"/>
          <w:szCs w:val="32"/>
        </w:rPr>
      </w:pPr>
      <w:r w:rsidRPr="009E18D6">
        <w:rPr>
          <w:rFonts w:ascii="仿宋" w:eastAsia="仿宋" w:hAnsi="仿宋" w:hint="eastAsia"/>
          <w:sz w:val="32"/>
          <w:szCs w:val="32"/>
        </w:rPr>
        <w:t>吉林省农村厕所改造奖补资金管理办法</w:t>
      </w:r>
    </w:p>
    <w:p w:rsidR="009E18D6" w:rsidRPr="009E18D6" w:rsidRDefault="009E18D6" w:rsidP="009E18D6">
      <w:pPr>
        <w:jc w:val="center"/>
        <w:rPr>
          <w:rFonts w:ascii="仿宋" w:eastAsia="仿宋" w:hAnsi="仿宋"/>
          <w:sz w:val="32"/>
          <w:szCs w:val="32"/>
        </w:rPr>
      </w:pPr>
      <w:r w:rsidRPr="009E18D6">
        <w:rPr>
          <w:rFonts w:ascii="仿宋" w:eastAsia="仿宋" w:hAnsi="仿宋" w:hint="eastAsia"/>
          <w:sz w:val="32"/>
          <w:szCs w:val="32"/>
        </w:rPr>
        <w:t>吉财建[2016]621号</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各市（州）、县（市）财政局、建委（住房城乡建设局），蛟河市农委、汪清县规划局：</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为切实改善农村人居环境，规范省级资金管理，提高资金使用效益，根据《关于开展全省农村厕所改造工作实施意见》（吉政办发[2016]60号）、《省对市县专项转移支付管理办法》（吉财预[2016]156号）和《吉林省预算绩效管理办法》（吉财预[2016]618号）等有关规定，我们制定了《吉林省农村厕所改造奖补资金管理办法》，现印发给你们，请认真贯彻执行。</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附件：吉林省农村厕所改造奖补资金管理办法</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吉林省财政厅         吉林省住房和城乡建设厅</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2016年8月3日</w:t>
      </w:r>
    </w:p>
    <w:p w:rsidR="009E18D6" w:rsidRPr="009E18D6" w:rsidRDefault="009E18D6" w:rsidP="009E18D6">
      <w:pPr>
        <w:ind w:firstLineChars="200" w:firstLine="600"/>
        <w:rPr>
          <w:rFonts w:ascii="仿宋" w:eastAsia="仿宋" w:hAnsi="仿宋"/>
          <w:sz w:val="30"/>
          <w:szCs w:val="30"/>
        </w:rPr>
      </w:pP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附件：</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吉林省农村厕所改造奖补资金管理办法</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第一章　总 则</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第一条　为切实改善农村人居环境，规范省级资金管理，提高资金使用效益，根据《关于开展全省农村厕所改造工作实施意见》（吉政办发[2016]60号）、《省对市县专项转移支付管理办法》</w:t>
      </w:r>
      <w:r w:rsidRPr="009E18D6">
        <w:rPr>
          <w:rFonts w:ascii="仿宋" w:eastAsia="仿宋" w:hAnsi="仿宋" w:hint="eastAsia"/>
          <w:sz w:val="30"/>
          <w:szCs w:val="30"/>
        </w:rPr>
        <w:lastRenderedPageBreak/>
        <w:t>（吉财预[2016]156号）和《吉林省预算绩效管理办法》（吉财预[2016]618号）等有关规定，制定本办法。</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第二条　本办法所称农村厕所改造奖补资金（以下简称“奖补资金”），是指由省级预算安排的专项用于支持市县开展农村厕所改造的引导类资金。</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第三条 奖补资金执行期限为5年。</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第四条 奖补资金由省财政厅和省住房和城乡建设厅（省改善人居环境领导小组办公室，以下仅简称表述为“省住建厅”）共同管理。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第五条 奖补资金管理和使用应遵循以下原则：</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（一）统筹使用原则。奖补资金严格按照省政府确定的农村厕所改造总体目标、任务要求，由市县政府统筹用于农村厕所改造项目。</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（二）突出重点原则。对地方政府改造农村厕所意愿较强的市县和对成片改造且数量较大的市县给予重点支持。</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（三）引导带动原则。对超额完成计划任务的市县和对利用PPP等市场化模式、政府购买服务方式有效解决融资问题的市县给予重点倾斜。</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（四）公平公正公开原则。资金的分配、审核、使用等遵循公平公正公开原则。</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第二章 补助范围和标准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lastRenderedPageBreak/>
        <w:t>第六条 对完成纳入省住建厅农村厕所改造计划的市县给予支持，由市县统筹用于农村厕所改造支出。</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奖补资金分为补助资金和奖励资金两部分。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（一）补助资金。依据省住建厅对年度农村厕所改造任务完成情况的验收结果，省财政按每户4000元标准及验收合格数量，对市县给予补助。补助资金采取“先预拨、后清算”的方式拨付。</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（二）奖励资金。</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对采取PPP等市场化模式或政府购买服务方式融资建设及后期运营维护管理效果较好的市县，省财政按每户100元给予奖励；</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对完成或超额完成年度改造任务的市县，省财政给予奖励，具体标准：市县当年完成改造数量在全省平均数（全省年度改造任务/年度改造市县总数，下同）以内（含100%）的部分，按每户50元给予奖励；在全省平均数100%-150%（含150%）的部分，按每户100元给予奖励；超过全省平均数150%的部分，按每户200元给予奖励。</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第三章 职责分工</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第七条 省财政厅主要职责：</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负责筹措安排年度奖补资金；审核省住建厅提出的奖补资金使用计划，下达资金支出预算；会同省住建厅调整完善资金管理办法；审核省住建厅提出的绩效考核报告；加强奖补资金监督管</w:t>
      </w:r>
      <w:r w:rsidRPr="009E18D6">
        <w:rPr>
          <w:rFonts w:ascii="仿宋" w:eastAsia="仿宋" w:hAnsi="仿宋" w:hint="eastAsia"/>
          <w:sz w:val="30"/>
          <w:szCs w:val="30"/>
        </w:rPr>
        <w:lastRenderedPageBreak/>
        <w:t>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第八条 省住建厅主要职责：</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负责按照预算管理的要求，提出奖补资金预算安排和分配建议；考核市县农村改厕改造任务完成情况；研究项目实施的管理流程、技术考核指标；提出绩效管理目标，组织开展绩效评价，并形成绩效报告；对项目进展情况进行调度和日常跟踪检查。</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第九条 市县财政和住建部门主要职责：</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组织本区域内的项目实施，对资金的使用、项目进展等情况进行监管；按要求开展项目绩效评价，并进行总结、分析，上报绩效考核自评报告；组织项目验收。</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第四章 资金安排、拨付与使用</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第十条 省住建厅于每年9月30日前，将下一年度奖补资金需求和分配意见报省财政厅。</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第十一条 省财政审核后于每年10月31日前，将下一年度农村厕所改造补助资金预计数提前下达市县财政，并在省人大批准预算后60日内正式下达补助资金。市县级财政部门将提前下达资金纳入本级预算管理。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第十二条 每年11月底前，省住建厅完成年度验收报告，省财政厅清算补助资金。</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第十三条  农村厕所改造奖励资金，省住建厅于每年9月15日前，向省财政厅提报上一年度奖补资金的分配建议。省财</w:t>
      </w:r>
      <w:r w:rsidRPr="009E18D6">
        <w:rPr>
          <w:rFonts w:ascii="仿宋" w:eastAsia="仿宋" w:hAnsi="仿宋" w:hint="eastAsia"/>
          <w:sz w:val="30"/>
          <w:szCs w:val="30"/>
        </w:rPr>
        <w:lastRenderedPageBreak/>
        <w:t>政厅审核后，于9月30日前下达奖补资金。</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第五章 资金监管</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第十四条 奖补资金要专款专用，不得无故滞留、拖延资金拨付；不得擅自扩大开支范围。原则上资金应于当年支出完毕，年度未支出的资金，按财政对结转结余资金管理的有关规定进行管理。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第十五条  任何单位和个人违反本办法规定，按照《财政违法行为处罚处分条例》（国务院令第427号）等法律法规的规定予以处理。</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第十六条 省住建厅、省财政厅按照政府信息公开的有关规定，建立健全专项资金信息公开机制，主动接受社会监督。</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sz w:val="30"/>
          <w:szCs w:val="30"/>
        </w:rPr>
        <w:t xml:space="preserve"> </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第六章 附 则</w:t>
      </w:r>
    </w:p>
    <w:p w:rsidR="009E18D6"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第十七条 本办法由省财政厅、省住建厅负责解释。</w:t>
      </w:r>
    </w:p>
    <w:p w:rsidR="001451C0" w:rsidRPr="009E18D6" w:rsidRDefault="009E18D6" w:rsidP="009E18D6">
      <w:pPr>
        <w:ind w:firstLineChars="200" w:firstLine="600"/>
        <w:rPr>
          <w:rFonts w:ascii="仿宋" w:eastAsia="仿宋" w:hAnsi="仿宋"/>
          <w:sz w:val="30"/>
          <w:szCs w:val="30"/>
        </w:rPr>
      </w:pPr>
      <w:r w:rsidRPr="009E18D6">
        <w:rPr>
          <w:rFonts w:ascii="仿宋" w:eastAsia="仿宋" w:hAnsi="仿宋" w:hint="eastAsia"/>
          <w:sz w:val="30"/>
          <w:szCs w:val="30"/>
        </w:rPr>
        <w:t xml:space="preserve">       第十八条 本办法自发布之日起执行。</w:t>
      </w:r>
    </w:p>
    <w:sectPr w:rsidR="001451C0" w:rsidRPr="009E18D6" w:rsidSect="003920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A14" w:rsidRDefault="00D43A14" w:rsidP="009E18D6">
      <w:r>
        <w:separator/>
      </w:r>
    </w:p>
  </w:endnote>
  <w:endnote w:type="continuationSeparator" w:id="1">
    <w:p w:rsidR="00D43A14" w:rsidRDefault="00D43A14" w:rsidP="009E18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A14" w:rsidRDefault="00D43A14" w:rsidP="009E18D6">
      <w:r>
        <w:separator/>
      </w:r>
    </w:p>
  </w:footnote>
  <w:footnote w:type="continuationSeparator" w:id="1">
    <w:p w:rsidR="00D43A14" w:rsidRDefault="00D43A14" w:rsidP="009E18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18D6"/>
    <w:rsid w:val="001451C0"/>
    <w:rsid w:val="003920E0"/>
    <w:rsid w:val="009E18D6"/>
    <w:rsid w:val="00D43A14"/>
    <w:rsid w:val="00E97E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18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18D6"/>
    <w:rPr>
      <w:sz w:val="18"/>
      <w:szCs w:val="18"/>
    </w:rPr>
  </w:style>
  <w:style w:type="paragraph" w:styleId="a4">
    <w:name w:val="footer"/>
    <w:basedOn w:val="a"/>
    <w:link w:val="Char0"/>
    <w:uiPriority w:val="99"/>
    <w:semiHidden/>
    <w:unhideWhenUsed/>
    <w:rsid w:val="009E18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18D6"/>
    <w:rPr>
      <w:sz w:val="18"/>
      <w:szCs w:val="18"/>
    </w:rPr>
  </w:style>
</w:styles>
</file>

<file path=word/webSettings.xml><?xml version="1.0" encoding="utf-8"?>
<w:webSettings xmlns:r="http://schemas.openxmlformats.org/officeDocument/2006/relationships" xmlns:w="http://schemas.openxmlformats.org/wordprocessingml/2006/main">
  <w:divs>
    <w:div w:id="1513059714">
      <w:bodyDiv w:val="1"/>
      <w:marLeft w:val="0"/>
      <w:marRight w:val="0"/>
      <w:marTop w:val="0"/>
      <w:marBottom w:val="0"/>
      <w:divBdr>
        <w:top w:val="none" w:sz="0" w:space="0" w:color="auto"/>
        <w:left w:val="none" w:sz="0" w:space="0" w:color="auto"/>
        <w:bottom w:val="none" w:sz="0" w:space="0" w:color="auto"/>
        <w:right w:val="none" w:sz="0" w:space="0" w:color="auto"/>
      </w:divBdr>
      <w:divsChild>
        <w:div w:id="70663905">
          <w:marLeft w:val="0"/>
          <w:marRight w:val="0"/>
          <w:marTop w:val="0"/>
          <w:marBottom w:val="0"/>
          <w:divBdr>
            <w:top w:val="none" w:sz="0" w:space="0" w:color="auto"/>
            <w:left w:val="none" w:sz="0" w:space="0" w:color="auto"/>
            <w:bottom w:val="none" w:sz="0" w:space="0" w:color="auto"/>
            <w:right w:val="none" w:sz="0" w:space="0" w:color="auto"/>
          </w:divBdr>
        </w:div>
        <w:div w:id="2056734127">
          <w:marLeft w:val="0"/>
          <w:marRight w:val="0"/>
          <w:marTop w:val="0"/>
          <w:marBottom w:val="0"/>
          <w:divBdr>
            <w:top w:val="none" w:sz="0" w:space="0" w:color="auto"/>
            <w:left w:val="none" w:sz="0" w:space="0" w:color="auto"/>
            <w:bottom w:val="none" w:sz="0" w:space="0" w:color="auto"/>
            <w:right w:val="none" w:sz="0" w:space="0" w:color="auto"/>
          </w:divBdr>
          <w:divsChild>
            <w:div w:id="2098014060">
              <w:marLeft w:val="0"/>
              <w:marRight w:val="0"/>
              <w:marTop w:val="0"/>
              <w:marBottom w:val="0"/>
              <w:divBdr>
                <w:top w:val="none" w:sz="0" w:space="0" w:color="auto"/>
                <w:left w:val="none" w:sz="0" w:space="0" w:color="auto"/>
                <w:bottom w:val="none" w:sz="0" w:space="0" w:color="auto"/>
                <w:right w:val="none" w:sz="0" w:space="0" w:color="auto"/>
              </w:divBdr>
              <w:divsChild>
                <w:div w:id="2033453060">
                  <w:marLeft w:val="0"/>
                  <w:marRight w:val="0"/>
                  <w:marTop w:val="0"/>
                  <w:marBottom w:val="0"/>
                  <w:divBdr>
                    <w:top w:val="none" w:sz="0" w:space="0" w:color="auto"/>
                    <w:left w:val="none" w:sz="0" w:space="0" w:color="auto"/>
                    <w:bottom w:val="none" w:sz="0" w:space="0" w:color="auto"/>
                    <w:right w:val="none" w:sz="0" w:space="0" w:color="auto"/>
                  </w:divBdr>
                  <w:divsChild>
                    <w:div w:id="1347321326">
                      <w:marLeft w:val="0"/>
                      <w:marRight w:val="0"/>
                      <w:marTop w:val="0"/>
                      <w:marBottom w:val="0"/>
                      <w:divBdr>
                        <w:top w:val="none" w:sz="0" w:space="0" w:color="auto"/>
                        <w:left w:val="none" w:sz="0" w:space="0" w:color="auto"/>
                        <w:bottom w:val="none" w:sz="0" w:space="0" w:color="auto"/>
                        <w:right w:val="none" w:sz="0" w:space="0" w:color="auto"/>
                      </w:divBdr>
                    </w:div>
                    <w:div w:id="1211841344">
                      <w:marLeft w:val="0"/>
                      <w:marRight w:val="0"/>
                      <w:marTop w:val="0"/>
                      <w:marBottom w:val="0"/>
                      <w:divBdr>
                        <w:top w:val="none" w:sz="0" w:space="0" w:color="auto"/>
                        <w:left w:val="none" w:sz="0" w:space="0" w:color="auto"/>
                        <w:bottom w:val="none" w:sz="0" w:space="0" w:color="auto"/>
                        <w:right w:val="none" w:sz="0" w:space="0" w:color="auto"/>
                      </w:divBdr>
                    </w:div>
                    <w:div w:id="356542137">
                      <w:marLeft w:val="0"/>
                      <w:marRight w:val="0"/>
                      <w:marTop w:val="0"/>
                      <w:marBottom w:val="0"/>
                      <w:divBdr>
                        <w:top w:val="none" w:sz="0" w:space="0" w:color="auto"/>
                        <w:left w:val="none" w:sz="0" w:space="0" w:color="auto"/>
                        <w:bottom w:val="none" w:sz="0" w:space="0" w:color="auto"/>
                        <w:right w:val="none" w:sz="0" w:space="0" w:color="auto"/>
                      </w:divBdr>
                    </w:div>
                    <w:div w:id="1686788863">
                      <w:marLeft w:val="0"/>
                      <w:marRight w:val="0"/>
                      <w:marTop w:val="0"/>
                      <w:marBottom w:val="0"/>
                      <w:divBdr>
                        <w:top w:val="none" w:sz="0" w:space="0" w:color="auto"/>
                        <w:left w:val="none" w:sz="0" w:space="0" w:color="auto"/>
                        <w:bottom w:val="none" w:sz="0" w:space="0" w:color="auto"/>
                        <w:right w:val="none" w:sz="0" w:space="0" w:color="auto"/>
                      </w:divBdr>
                    </w:div>
                    <w:div w:id="207034026">
                      <w:marLeft w:val="0"/>
                      <w:marRight w:val="0"/>
                      <w:marTop w:val="0"/>
                      <w:marBottom w:val="0"/>
                      <w:divBdr>
                        <w:top w:val="none" w:sz="0" w:space="0" w:color="auto"/>
                        <w:left w:val="none" w:sz="0" w:space="0" w:color="auto"/>
                        <w:bottom w:val="none" w:sz="0" w:space="0" w:color="auto"/>
                        <w:right w:val="none" w:sz="0" w:space="0" w:color="auto"/>
                      </w:divBdr>
                    </w:div>
                    <w:div w:id="101994277">
                      <w:marLeft w:val="0"/>
                      <w:marRight w:val="0"/>
                      <w:marTop w:val="45"/>
                      <w:marBottom w:val="45"/>
                      <w:divBdr>
                        <w:top w:val="none" w:sz="0" w:space="0" w:color="auto"/>
                        <w:left w:val="none" w:sz="0" w:space="0" w:color="auto"/>
                        <w:bottom w:val="none" w:sz="0" w:space="0" w:color="auto"/>
                        <w:right w:val="none" w:sz="0" w:space="0" w:color="auto"/>
                      </w:divBdr>
                    </w:div>
                    <w:div w:id="1629701609">
                      <w:marLeft w:val="0"/>
                      <w:marRight w:val="0"/>
                      <w:marTop w:val="45"/>
                      <w:marBottom w:val="45"/>
                      <w:divBdr>
                        <w:top w:val="none" w:sz="0" w:space="0" w:color="auto"/>
                        <w:left w:val="none" w:sz="0" w:space="0" w:color="auto"/>
                        <w:bottom w:val="none" w:sz="0" w:space="0" w:color="auto"/>
                        <w:right w:val="none" w:sz="0" w:space="0" w:color="auto"/>
                      </w:divBdr>
                    </w:div>
                    <w:div w:id="602108567">
                      <w:marLeft w:val="0"/>
                      <w:marRight w:val="0"/>
                      <w:marTop w:val="45"/>
                      <w:marBottom w:val="45"/>
                      <w:divBdr>
                        <w:top w:val="none" w:sz="0" w:space="0" w:color="auto"/>
                        <w:left w:val="none" w:sz="0" w:space="0" w:color="auto"/>
                        <w:bottom w:val="none" w:sz="0" w:space="0" w:color="auto"/>
                        <w:right w:val="none" w:sz="0" w:space="0" w:color="auto"/>
                      </w:divBdr>
                    </w:div>
                    <w:div w:id="660809782">
                      <w:marLeft w:val="0"/>
                      <w:marRight w:val="0"/>
                      <w:marTop w:val="45"/>
                      <w:marBottom w:val="45"/>
                      <w:divBdr>
                        <w:top w:val="none" w:sz="0" w:space="0" w:color="auto"/>
                        <w:left w:val="none" w:sz="0" w:space="0" w:color="auto"/>
                        <w:bottom w:val="none" w:sz="0" w:space="0" w:color="auto"/>
                        <w:right w:val="none" w:sz="0" w:space="0" w:color="auto"/>
                      </w:divBdr>
                    </w:div>
                    <w:div w:id="1008408798">
                      <w:marLeft w:val="0"/>
                      <w:marRight w:val="0"/>
                      <w:marTop w:val="0"/>
                      <w:marBottom w:val="0"/>
                      <w:divBdr>
                        <w:top w:val="none" w:sz="0" w:space="0" w:color="auto"/>
                        <w:left w:val="none" w:sz="0" w:space="0" w:color="auto"/>
                        <w:bottom w:val="none" w:sz="0" w:space="0" w:color="auto"/>
                        <w:right w:val="none" w:sz="0" w:space="0" w:color="auto"/>
                      </w:divBdr>
                    </w:div>
                    <w:div w:id="2134206977">
                      <w:marLeft w:val="0"/>
                      <w:marRight w:val="0"/>
                      <w:marTop w:val="45"/>
                      <w:marBottom w:val="45"/>
                      <w:divBdr>
                        <w:top w:val="none" w:sz="0" w:space="0" w:color="auto"/>
                        <w:left w:val="none" w:sz="0" w:space="0" w:color="auto"/>
                        <w:bottom w:val="none" w:sz="0" w:space="0" w:color="auto"/>
                        <w:right w:val="none" w:sz="0" w:space="0" w:color="auto"/>
                      </w:divBdr>
                    </w:div>
                    <w:div w:id="1348213452">
                      <w:marLeft w:val="0"/>
                      <w:marRight w:val="0"/>
                      <w:marTop w:val="45"/>
                      <w:marBottom w:val="45"/>
                      <w:divBdr>
                        <w:top w:val="none" w:sz="0" w:space="0" w:color="auto"/>
                        <w:left w:val="none" w:sz="0" w:space="0" w:color="auto"/>
                        <w:bottom w:val="none" w:sz="0" w:space="0" w:color="auto"/>
                        <w:right w:val="none" w:sz="0" w:space="0" w:color="auto"/>
                      </w:divBdr>
                    </w:div>
                    <w:div w:id="484277349">
                      <w:marLeft w:val="0"/>
                      <w:marRight w:val="0"/>
                      <w:marTop w:val="0"/>
                      <w:marBottom w:val="0"/>
                      <w:divBdr>
                        <w:top w:val="none" w:sz="0" w:space="0" w:color="auto"/>
                        <w:left w:val="none" w:sz="0" w:space="0" w:color="auto"/>
                        <w:bottom w:val="none" w:sz="0" w:space="0" w:color="auto"/>
                        <w:right w:val="none" w:sz="0" w:space="0" w:color="auto"/>
                      </w:divBdr>
                    </w:div>
                    <w:div w:id="1372727690">
                      <w:marLeft w:val="0"/>
                      <w:marRight w:val="0"/>
                      <w:marTop w:val="0"/>
                      <w:marBottom w:val="0"/>
                      <w:divBdr>
                        <w:top w:val="none" w:sz="0" w:space="0" w:color="auto"/>
                        <w:left w:val="none" w:sz="0" w:space="0" w:color="auto"/>
                        <w:bottom w:val="none" w:sz="0" w:space="0" w:color="auto"/>
                        <w:right w:val="none" w:sz="0" w:space="0" w:color="auto"/>
                      </w:divBdr>
                    </w:div>
                    <w:div w:id="711269122">
                      <w:marLeft w:val="0"/>
                      <w:marRight w:val="0"/>
                      <w:marTop w:val="0"/>
                      <w:marBottom w:val="0"/>
                      <w:divBdr>
                        <w:top w:val="none" w:sz="0" w:space="0" w:color="auto"/>
                        <w:left w:val="none" w:sz="0" w:space="0" w:color="auto"/>
                        <w:bottom w:val="none" w:sz="0" w:space="0" w:color="auto"/>
                        <w:right w:val="none" w:sz="0" w:space="0" w:color="auto"/>
                      </w:divBdr>
                    </w:div>
                    <w:div w:id="421335599">
                      <w:marLeft w:val="0"/>
                      <w:marRight w:val="0"/>
                      <w:marTop w:val="0"/>
                      <w:marBottom w:val="0"/>
                      <w:divBdr>
                        <w:top w:val="none" w:sz="0" w:space="0" w:color="auto"/>
                        <w:left w:val="none" w:sz="0" w:space="0" w:color="auto"/>
                        <w:bottom w:val="none" w:sz="0" w:space="0" w:color="auto"/>
                        <w:right w:val="none" w:sz="0" w:space="0" w:color="auto"/>
                      </w:divBdr>
                    </w:div>
                    <w:div w:id="655840546">
                      <w:marLeft w:val="0"/>
                      <w:marRight w:val="0"/>
                      <w:marTop w:val="45"/>
                      <w:marBottom w:val="45"/>
                      <w:divBdr>
                        <w:top w:val="none" w:sz="0" w:space="0" w:color="auto"/>
                        <w:left w:val="none" w:sz="0" w:space="0" w:color="auto"/>
                        <w:bottom w:val="none" w:sz="0" w:space="0" w:color="auto"/>
                        <w:right w:val="none" w:sz="0" w:space="0" w:color="auto"/>
                      </w:divBdr>
                    </w:div>
                    <w:div w:id="131601946">
                      <w:marLeft w:val="0"/>
                      <w:marRight w:val="0"/>
                      <w:marTop w:val="0"/>
                      <w:marBottom w:val="0"/>
                      <w:divBdr>
                        <w:top w:val="none" w:sz="0" w:space="0" w:color="auto"/>
                        <w:left w:val="none" w:sz="0" w:space="0" w:color="auto"/>
                        <w:bottom w:val="none" w:sz="0" w:space="0" w:color="auto"/>
                        <w:right w:val="none" w:sz="0" w:space="0" w:color="auto"/>
                      </w:divBdr>
                    </w:div>
                    <w:div w:id="1975328935">
                      <w:marLeft w:val="0"/>
                      <w:marRight w:val="0"/>
                      <w:marTop w:val="0"/>
                      <w:marBottom w:val="0"/>
                      <w:divBdr>
                        <w:top w:val="none" w:sz="0" w:space="0" w:color="auto"/>
                        <w:left w:val="none" w:sz="0" w:space="0" w:color="auto"/>
                        <w:bottom w:val="none" w:sz="0" w:space="0" w:color="auto"/>
                        <w:right w:val="none" w:sz="0" w:space="0" w:color="auto"/>
                      </w:divBdr>
                    </w:div>
                    <w:div w:id="891772309">
                      <w:marLeft w:val="0"/>
                      <w:marRight w:val="0"/>
                      <w:marTop w:val="0"/>
                      <w:marBottom w:val="0"/>
                      <w:divBdr>
                        <w:top w:val="none" w:sz="0" w:space="0" w:color="auto"/>
                        <w:left w:val="none" w:sz="0" w:space="0" w:color="auto"/>
                        <w:bottom w:val="none" w:sz="0" w:space="0" w:color="auto"/>
                        <w:right w:val="none" w:sz="0" w:space="0" w:color="auto"/>
                      </w:divBdr>
                    </w:div>
                    <w:div w:id="1282804915">
                      <w:marLeft w:val="0"/>
                      <w:marRight w:val="0"/>
                      <w:marTop w:val="0"/>
                      <w:marBottom w:val="0"/>
                      <w:divBdr>
                        <w:top w:val="none" w:sz="0" w:space="0" w:color="auto"/>
                        <w:left w:val="none" w:sz="0" w:space="0" w:color="auto"/>
                        <w:bottom w:val="none" w:sz="0" w:space="0" w:color="auto"/>
                        <w:right w:val="none" w:sz="0" w:space="0" w:color="auto"/>
                      </w:divBdr>
                    </w:div>
                    <w:div w:id="921262621">
                      <w:marLeft w:val="0"/>
                      <w:marRight w:val="0"/>
                      <w:marTop w:val="0"/>
                      <w:marBottom w:val="0"/>
                      <w:divBdr>
                        <w:top w:val="none" w:sz="0" w:space="0" w:color="auto"/>
                        <w:left w:val="none" w:sz="0" w:space="0" w:color="auto"/>
                        <w:bottom w:val="none" w:sz="0" w:space="0" w:color="auto"/>
                        <w:right w:val="none" w:sz="0" w:space="0" w:color="auto"/>
                      </w:divBdr>
                    </w:div>
                    <w:div w:id="870991445">
                      <w:marLeft w:val="0"/>
                      <w:marRight w:val="0"/>
                      <w:marTop w:val="0"/>
                      <w:marBottom w:val="0"/>
                      <w:divBdr>
                        <w:top w:val="none" w:sz="0" w:space="0" w:color="auto"/>
                        <w:left w:val="none" w:sz="0" w:space="0" w:color="auto"/>
                        <w:bottom w:val="none" w:sz="0" w:space="0" w:color="auto"/>
                        <w:right w:val="none" w:sz="0" w:space="0" w:color="auto"/>
                      </w:divBdr>
                    </w:div>
                    <w:div w:id="1362974981">
                      <w:marLeft w:val="0"/>
                      <w:marRight w:val="0"/>
                      <w:marTop w:val="45"/>
                      <w:marBottom w:val="45"/>
                      <w:divBdr>
                        <w:top w:val="none" w:sz="0" w:space="0" w:color="auto"/>
                        <w:left w:val="none" w:sz="0" w:space="0" w:color="auto"/>
                        <w:bottom w:val="none" w:sz="0" w:space="0" w:color="auto"/>
                        <w:right w:val="none" w:sz="0" w:space="0" w:color="auto"/>
                      </w:divBdr>
                    </w:div>
                    <w:div w:id="861279783">
                      <w:marLeft w:val="0"/>
                      <w:marRight w:val="0"/>
                      <w:marTop w:val="45"/>
                      <w:marBottom w:val="45"/>
                      <w:divBdr>
                        <w:top w:val="none" w:sz="0" w:space="0" w:color="auto"/>
                        <w:left w:val="none" w:sz="0" w:space="0" w:color="auto"/>
                        <w:bottom w:val="none" w:sz="0" w:space="0" w:color="auto"/>
                        <w:right w:val="none" w:sz="0" w:space="0" w:color="auto"/>
                      </w:divBdr>
                    </w:div>
                    <w:div w:id="2009169291">
                      <w:marLeft w:val="0"/>
                      <w:marRight w:val="0"/>
                      <w:marTop w:val="0"/>
                      <w:marBottom w:val="0"/>
                      <w:divBdr>
                        <w:top w:val="none" w:sz="0" w:space="0" w:color="auto"/>
                        <w:left w:val="none" w:sz="0" w:space="0" w:color="auto"/>
                        <w:bottom w:val="none" w:sz="0" w:space="0" w:color="auto"/>
                        <w:right w:val="none" w:sz="0" w:space="0" w:color="auto"/>
                      </w:divBdr>
                    </w:div>
                    <w:div w:id="1550647659">
                      <w:marLeft w:val="0"/>
                      <w:marRight w:val="0"/>
                      <w:marTop w:val="0"/>
                      <w:marBottom w:val="0"/>
                      <w:divBdr>
                        <w:top w:val="none" w:sz="0" w:space="0" w:color="auto"/>
                        <w:left w:val="none" w:sz="0" w:space="0" w:color="auto"/>
                        <w:bottom w:val="none" w:sz="0" w:space="0" w:color="auto"/>
                        <w:right w:val="none" w:sz="0" w:space="0" w:color="auto"/>
                      </w:divBdr>
                    </w:div>
                    <w:div w:id="1870413978">
                      <w:marLeft w:val="0"/>
                      <w:marRight w:val="0"/>
                      <w:marTop w:val="0"/>
                      <w:marBottom w:val="0"/>
                      <w:divBdr>
                        <w:top w:val="none" w:sz="0" w:space="0" w:color="auto"/>
                        <w:left w:val="none" w:sz="0" w:space="0" w:color="auto"/>
                        <w:bottom w:val="none" w:sz="0" w:space="0" w:color="auto"/>
                        <w:right w:val="none" w:sz="0" w:space="0" w:color="auto"/>
                      </w:divBdr>
                    </w:div>
                    <w:div w:id="2064131589">
                      <w:marLeft w:val="0"/>
                      <w:marRight w:val="0"/>
                      <w:marTop w:val="0"/>
                      <w:marBottom w:val="0"/>
                      <w:divBdr>
                        <w:top w:val="none" w:sz="0" w:space="0" w:color="auto"/>
                        <w:left w:val="none" w:sz="0" w:space="0" w:color="auto"/>
                        <w:bottom w:val="none" w:sz="0" w:space="0" w:color="auto"/>
                        <w:right w:val="none" w:sz="0" w:space="0" w:color="auto"/>
                      </w:divBdr>
                    </w:div>
                    <w:div w:id="668826662">
                      <w:marLeft w:val="0"/>
                      <w:marRight w:val="0"/>
                      <w:marTop w:val="0"/>
                      <w:marBottom w:val="0"/>
                      <w:divBdr>
                        <w:top w:val="none" w:sz="0" w:space="0" w:color="auto"/>
                        <w:left w:val="none" w:sz="0" w:space="0" w:color="auto"/>
                        <w:bottom w:val="none" w:sz="0" w:space="0" w:color="auto"/>
                        <w:right w:val="none" w:sz="0" w:space="0" w:color="auto"/>
                      </w:divBdr>
                    </w:div>
                    <w:div w:id="1891183228">
                      <w:marLeft w:val="0"/>
                      <w:marRight w:val="0"/>
                      <w:marTop w:val="0"/>
                      <w:marBottom w:val="0"/>
                      <w:divBdr>
                        <w:top w:val="none" w:sz="0" w:space="0" w:color="auto"/>
                        <w:left w:val="none" w:sz="0" w:space="0" w:color="auto"/>
                        <w:bottom w:val="none" w:sz="0" w:space="0" w:color="auto"/>
                        <w:right w:val="none" w:sz="0" w:space="0" w:color="auto"/>
                      </w:divBdr>
                    </w:div>
                    <w:div w:id="2114932702">
                      <w:marLeft w:val="0"/>
                      <w:marRight w:val="0"/>
                      <w:marTop w:val="0"/>
                      <w:marBottom w:val="0"/>
                      <w:divBdr>
                        <w:top w:val="none" w:sz="0" w:space="0" w:color="auto"/>
                        <w:left w:val="none" w:sz="0" w:space="0" w:color="auto"/>
                        <w:bottom w:val="none" w:sz="0" w:space="0" w:color="auto"/>
                        <w:right w:val="none" w:sz="0" w:space="0" w:color="auto"/>
                      </w:divBdr>
                    </w:div>
                    <w:div w:id="142624201">
                      <w:marLeft w:val="0"/>
                      <w:marRight w:val="0"/>
                      <w:marTop w:val="0"/>
                      <w:marBottom w:val="0"/>
                      <w:divBdr>
                        <w:top w:val="none" w:sz="0" w:space="0" w:color="auto"/>
                        <w:left w:val="none" w:sz="0" w:space="0" w:color="auto"/>
                        <w:bottom w:val="none" w:sz="0" w:space="0" w:color="auto"/>
                        <w:right w:val="none" w:sz="0" w:space="0" w:color="auto"/>
                      </w:divBdr>
                    </w:div>
                    <w:div w:id="1437212727">
                      <w:marLeft w:val="0"/>
                      <w:marRight w:val="0"/>
                      <w:marTop w:val="0"/>
                      <w:marBottom w:val="0"/>
                      <w:divBdr>
                        <w:top w:val="none" w:sz="0" w:space="0" w:color="auto"/>
                        <w:left w:val="none" w:sz="0" w:space="0" w:color="auto"/>
                        <w:bottom w:val="none" w:sz="0" w:space="0" w:color="auto"/>
                        <w:right w:val="none" w:sz="0" w:space="0" w:color="auto"/>
                      </w:divBdr>
                    </w:div>
                    <w:div w:id="1744600414">
                      <w:marLeft w:val="0"/>
                      <w:marRight w:val="0"/>
                      <w:marTop w:val="0"/>
                      <w:marBottom w:val="0"/>
                      <w:divBdr>
                        <w:top w:val="none" w:sz="0" w:space="0" w:color="auto"/>
                        <w:left w:val="none" w:sz="0" w:space="0" w:color="auto"/>
                        <w:bottom w:val="none" w:sz="0" w:space="0" w:color="auto"/>
                        <w:right w:val="none" w:sz="0" w:space="0" w:color="auto"/>
                      </w:divBdr>
                    </w:div>
                    <w:div w:id="457072079">
                      <w:marLeft w:val="0"/>
                      <w:marRight w:val="0"/>
                      <w:marTop w:val="0"/>
                      <w:marBottom w:val="0"/>
                      <w:divBdr>
                        <w:top w:val="none" w:sz="0" w:space="0" w:color="auto"/>
                        <w:left w:val="none" w:sz="0" w:space="0" w:color="auto"/>
                        <w:bottom w:val="none" w:sz="0" w:space="0" w:color="auto"/>
                        <w:right w:val="none" w:sz="0" w:space="0" w:color="auto"/>
                      </w:divBdr>
                    </w:div>
                    <w:div w:id="1873377728">
                      <w:marLeft w:val="0"/>
                      <w:marRight w:val="0"/>
                      <w:marTop w:val="0"/>
                      <w:marBottom w:val="0"/>
                      <w:divBdr>
                        <w:top w:val="none" w:sz="0" w:space="0" w:color="auto"/>
                        <w:left w:val="none" w:sz="0" w:space="0" w:color="auto"/>
                        <w:bottom w:val="none" w:sz="0" w:space="0" w:color="auto"/>
                        <w:right w:val="none" w:sz="0" w:space="0" w:color="auto"/>
                      </w:divBdr>
                    </w:div>
                    <w:div w:id="1501432183">
                      <w:marLeft w:val="0"/>
                      <w:marRight w:val="0"/>
                      <w:marTop w:val="0"/>
                      <w:marBottom w:val="0"/>
                      <w:divBdr>
                        <w:top w:val="none" w:sz="0" w:space="0" w:color="auto"/>
                        <w:left w:val="none" w:sz="0" w:space="0" w:color="auto"/>
                        <w:bottom w:val="none" w:sz="0" w:space="0" w:color="auto"/>
                        <w:right w:val="none" w:sz="0" w:space="0" w:color="auto"/>
                      </w:divBdr>
                    </w:div>
                    <w:div w:id="922375339">
                      <w:marLeft w:val="0"/>
                      <w:marRight w:val="0"/>
                      <w:marTop w:val="0"/>
                      <w:marBottom w:val="0"/>
                      <w:divBdr>
                        <w:top w:val="none" w:sz="0" w:space="0" w:color="auto"/>
                        <w:left w:val="none" w:sz="0" w:space="0" w:color="auto"/>
                        <w:bottom w:val="none" w:sz="0" w:space="0" w:color="auto"/>
                        <w:right w:val="none" w:sz="0" w:space="0" w:color="auto"/>
                      </w:divBdr>
                    </w:div>
                    <w:div w:id="1060056823">
                      <w:marLeft w:val="0"/>
                      <w:marRight w:val="0"/>
                      <w:marTop w:val="0"/>
                      <w:marBottom w:val="0"/>
                      <w:divBdr>
                        <w:top w:val="none" w:sz="0" w:space="0" w:color="auto"/>
                        <w:left w:val="none" w:sz="0" w:space="0" w:color="auto"/>
                        <w:bottom w:val="none" w:sz="0" w:space="0" w:color="auto"/>
                        <w:right w:val="none" w:sz="0" w:space="0" w:color="auto"/>
                      </w:divBdr>
                    </w:div>
                    <w:div w:id="11697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322</Words>
  <Characters>1840</Characters>
  <Application>Microsoft Office Word</Application>
  <DocSecurity>0</DocSecurity>
  <Lines>15</Lines>
  <Paragraphs>4</Paragraphs>
  <ScaleCrop>false</ScaleCrop>
  <Company>P R C</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2017-04-06T10:33:00Z</dcterms:created>
  <dcterms:modified xsi:type="dcterms:W3CDTF">2017-04-06T10:33:00Z</dcterms:modified>
</cp:coreProperties>
</file>