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蛟河市民主街道办事处（本级）</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二〇二五年一月八日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hint="eastAsia" w:ascii="黑体" w:hAnsi="黑体" w:eastAsia="黑体"/>
          <w:color w:val="000000" w:themeColor="text1"/>
          <w:sz w:val="44"/>
          <w:szCs w:val="44"/>
          <w:highlight w:val="none"/>
          <w:lang w:eastAsia="zh-CN"/>
          <w14:textFill>
            <w14:solidFill>
              <w14:schemeClr w14:val="tx1"/>
            </w14:solidFill>
          </w14:textFill>
        </w:rPr>
      </w:pPr>
      <w:r>
        <w:rPr>
          <w:rFonts w:hint="eastAsia" w:ascii="黑体" w:hAnsi="黑体" w:eastAsia="黑体"/>
          <w:color w:val="000000" w:themeColor="text1"/>
          <w:sz w:val="44"/>
          <w:szCs w:val="44"/>
          <w:highlight w:val="none"/>
          <w:lang w:val="en-US" w:eastAsia="zh-CN"/>
          <w14:textFill>
            <w14:solidFill>
              <w14:schemeClr w14:val="tx1"/>
            </w14:solidFill>
          </w14:textFill>
        </w:rPr>
        <w:t>蛟河市民主街道办事处</w:t>
      </w:r>
      <w:r>
        <w:rPr>
          <w:rFonts w:hint="eastAsia" w:ascii="黑体" w:hAnsi="黑体" w:eastAsia="黑体"/>
          <w:color w:val="000000" w:themeColor="text1"/>
          <w:sz w:val="44"/>
          <w:szCs w:val="44"/>
          <w:highlight w:val="none"/>
          <w:lang w:eastAsia="zh-CN"/>
          <w14:textFill>
            <w14:solidFill>
              <w14:schemeClr w14:val="tx1"/>
            </w14:solidFill>
          </w14:textFill>
        </w:rPr>
        <w:t>（</w:t>
      </w:r>
      <w:r>
        <w:rPr>
          <w:rFonts w:hint="eastAsia" w:ascii="黑体" w:hAnsi="黑体" w:eastAsia="黑体"/>
          <w:color w:val="000000" w:themeColor="text1"/>
          <w:sz w:val="44"/>
          <w:szCs w:val="44"/>
          <w:highlight w:val="none"/>
          <w:lang w:val="en-US" w:eastAsia="zh-CN"/>
          <w14:textFill>
            <w14:solidFill>
              <w14:schemeClr w14:val="tx1"/>
            </w14:solidFill>
          </w14:textFill>
        </w:rPr>
        <w:t>本级</w:t>
      </w:r>
      <w:r>
        <w:rPr>
          <w:rFonts w:hint="eastAsia" w:ascii="黑体" w:hAnsi="黑体" w:eastAsia="黑体"/>
          <w:color w:val="000000" w:themeColor="text1"/>
          <w:sz w:val="44"/>
          <w:szCs w:val="44"/>
          <w:highlight w:val="none"/>
          <w:lang w:eastAsia="zh-CN"/>
          <w14:textFill>
            <w14:solidFill>
              <w14:schemeClr w14:val="tx1"/>
            </w14:solidFill>
          </w14:textFill>
        </w:rPr>
        <w:t>）</w:t>
      </w:r>
    </w:p>
    <w:p>
      <w:pPr>
        <w:jc w:val="center"/>
        <w:rPr>
          <w:rFonts w:ascii="黑体" w:hAnsi="黑体" w:eastAsia="黑体"/>
          <w:sz w:val="44"/>
          <w:szCs w:val="44"/>
          <w:highlight w:val="none"/>
        </w:rPr>
      </w:pPr>
      <w:r>
        <w:rPr>
          <w:rFonts w:hint="eastAsia" w:ascii="黑体" w:hAnsi="黑体" w:eastAsia="黑体"/>
          <w:color w:val="000000" w:themeColor="text1"/>
          <w:sz w:val="44"/>
          <w:szCs w:val="44"/>
          <w:highlight w:val="none"/>
          <w:lang w:eastAsia="zh-CN"/>
          <w14:textFill>
            <w14:solidFill>
              <w14:schemeClr w14:val="tx1"/>
            </w14:solidFill>
          </w14:textFill>
        </w:rPr>
        <w:t>2</w:t>
      </w:r>
      <w:r>
        <w:rPr>
          <w:rFonts w:hint="eastAsia" w:ascii="黑体" w:hAnsi="黑体" w:eastAsia="黑体"/>
          <w:sz w:val="44"/>
          <w:szCs w:val="44"/>
          <w:highlight w:val="none"/>
          <w:lang w:eastAsia="zh-CN"/>
        </w:rPr>
        <w:t>025</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val="en-US" w:eastAsia="zh-CN"/>
        </w:rPr>
        <w:t>蛟河市民主街道办事处</w:t>
      </w:r>
      <w:r>
        <w:rPr>
          <w:rFonts w:hint="eastAsia" w:ascii="黑体" w:hAnsi="黑体" w:eastAsia="黑体"/>
          <w:sz w:val="32"/>
          <w:szCs w:val="32"/>
          <w:highlight w:val="none"/>
          <w:lang w:eastAsia="zh-CN"/>
        </w:rPr>
        <w:t>（</w:t>
      </w:r>
      <w:r>
        <w:rPr>
          <w:rFonts w:hint="eastAsia" w:ascii="黑体" w:hAnsi="黑体" w:eastAsia="黑体"/>
          <w:sz w:val="32"/>
          <w:szCs w:val="32"/>
          <w:highlight w:val="none"/>
          <w:lang w:val="en-US" w:eastAsia="zh-CN"/>
        </w:rPr>
        <w:t>本级</w:t>
      </w:r>
      <w:r>
        <w:rPr>
          <w:rFonts w:hint="eastAsia" w:ascii="黑体" w:hAnsi="黑体" w:eastAsia="黑体"/>
          <w:sz w:val="32"/>
          <w:szCs w:val="32"/>
          <w:highlight w:val="none"/>
          <w:lang w:eastAsia="zh-CN"/>
        </w:rPr>
        <w:t>）</w:t>
      </w:r>
      <w:r>
        <w:rPr>
          <w:rFonts w:hint="eastAsia" w:ascii="黑体" w:hAnsi="黑体" w:eastAsia="黑体"/>
          <w:sz w:val="32"/>
          <w:szCs w:val="32"/>
          <w:highlight w:val="none"/>
        </w:rPr>
        <w:t>概况</w:t>
      </w:r>
    </w:p>
    <w:p>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一、主要职能</w:t>
      </w:r>
    </w:p>
    <w:p>
      <w:pPr>
        <w:pStyle w:val="10"/>
        <w:widowControl/>
        <w:spacing w:line="620" w:lineRule="exact"/>
        <w:ind w:firstLine="627" w:firstLineChars="196"/>
        <w:contextualSpacing/>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val="en-US" w:eastAsia="zh-CN"/>
        </w:rPr>
        <w:t>蛟河市民主街道办事处（本级）</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2021</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：机关，市政府派出机构。</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bCs/>
          <w:kern w:val="0"/>
          <w:sz w:val="32"/>
          <w:szCs w:val="32"/>
          <w:highlight w:val="none"/>
        </w:rPr>
        <w:t>主要职能：</w:t>
      </w:r>
      <w:r>
        <w:rPr>
          <w:rFonts w:hint="eastAsia" w:ascii="仿宋" w:hAnsi="仿宋" w:eastAsia="仿宋" w:cs="仿宋"/>
          <w:sz w:val="32"/>
          <w:szCs w:val="32"/>
        </w:rPr>
        <w:t>加强党的建设、统筹区域发展、组织公共服务、综合管理、领导基层治理、维护安全稳定。</w:t>
      </w:r>
    </w:p>
    <w:p>
      <w:pPr>
        <w:pStyle w:val="10"/>
        <w:widowControl/>
        <w:spacing w:line="620" w:lineRule="exact"/>
        <w:ind w:left="650" w:leftChars="304" w:hanging="12" w:hangingChars="4"/>
        <w:contextualSpacing/>
        <w:rPr>
          <w:rFonts w:ascii="仿宋" w:hAnsi="仿宋" w:eastAsia="仿宋"/>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cs="仿宋"/>
          <w:bCs/>
          <w:kern w:val="0"/>
          <w:sz w:val="32"/>
          <w:szCs w:val="32"/>
        </w:rPr>
        <w:t>思</w:t>
      </w:r>
      <w:r>
        <w:rPr>
          <w:rFonts w:hint="eastAsia" w:ascii="仿宋" w:hAnsi="仿宋" w:eastAsia="仿宋" w:cs="仿宋"/>
          <w:kern w:val="0"/>
          <w:sz w:val="32"/>
          <w:szCs w:val="32"/>
        </w:rPr>
        <w:t>想建设、组织建设、参政议政、社会服务等。</w:t>
      </w:r>
      <w:r>
        <w:rPr>
          <w:rFonts w:hint="eastAsia" w:ascii="仿宋" w:hAnsi="仿宋" w:eastAsia="仿宋"/>
          <w:sz w:val="32"/>
          <w:szCs w:val="32"/>
          <w:highlight w:val="none"/>
        </w:rPr>
        <w:t>二、机构设置</w:t>
      </w:r>
    </w:p>
    <w:p>
      <w:pPr>
        <w:pStyle w:val="12"/>
        <w:ind w:firstLine="627" w:firstLineChars="196"/>
        <w:rPr>
          <w:rFonts w:hint="eastAsia" w:ascii="仿宋" w:hAnsi="仿宋" w:eastAsia="仿宋"/>
          <w:szCs w:val="32"/>
        </w:rPr>
      </w:pPr>
      <w:r>
        <w:rPr>
          <w:rFonts w:hint="eastAsia" w:ascii="仿宋" w:hAnsi="仿宋" w:eastAsia="仿宋"/>
          <w:kern w:val="0"/>
          <w:szCs w:val="32"/>
          <w:highlight w:val="none"/>
        </w:rPr>
        <w:t>机构设置包括：</w:t>
      </w:r>
      <w:r>
        <w:rPr>
          <w:rFonts w:hint="eastAsia" w:ascii="仿宋" w:hAnsi="仿宋" w:eastAsia="仿宋"/>
          <w:szCs w:val="32"/>
        </w:rPr>
        <w:t>综合办公室、党建工作办公室、平安建设办公室、社会事务办公室、经济发展办公室、综合行政执法办公室、</w:t>
      </w:r>
      <w:r>
        <w:rPr>
          <w:rFonts w:hint="eastAsia" w:ascii="仿宋" w:hAnsi="仿宋" w:eastAsia="仿宋"/>
          <w:szCs w:val="32"/>
          <w:lang w:val="en-US" w:eastAsia="zh-CN"/>
        </w:rPr>
        <w:t>应急</w:t>
      </w:r>
      <w:r>
        <w:rPr>
          <w:rFonts w:hint="eastAsia" w:ascii="仿宋" w:hAnsi="仿宋" w:eastAsia="仿宋"/>
          <w:szCs w:val="32"/>
        </w:rPr>
        <w:t>办公室。</w:t>
      </w:r>
    </w:p>
    <w:p>
      <w:pPr>
        <w:pStyle w:val="12"/>
        <w:ind w:firstLine="627" w:firstLineChars="196"/>
        <w:rPr>
          <w:rFonts w:ascii="仿宋" w:hAnsi="仿宋" w:eastAsia="仿宋"/>
          <w:kern w:val="0"/>
          <w:szCs w:val="32"/>
        </w:rPr>
      </w:pPr>
      <w:r>
        <w:rPr>
          <w:rFonts w:hint="eastAsia" w:ascii="仿宋" w:hAnsi="仿宋" w:eastAsia="仿宋"/>
          <w:kern w:val="0"/>
          <w:szCs w:val="32"/>
          <w:highlight w:val="none"/>
        </w:rPr>
        <w:t>人员情况：</w:t>
      </w:r>
      <w:r>
        <w:rPr>
          <w:rFonts w:hint="eastAsia" w:ascii="仿宋" w:hAnsi="仿宋" w:eastAsia="仿宋"/>
          <w:kern w:val="0"/>
          <w:szCs w:val="32"/>
        </w:rPr>
        <w:t>在职人员</w:t>
      </w:r>
      <w:r>
        <w:rPr>
          <w:rFonts w:hint="eastAsia" w:ascii="仿宋" w:hAnsi="仿宋" w:eastAsia="仿宋"/>
          <w:kern w:val="0"/>
          <w:szCs w:val="32"/>
          <w:lang w:val="en-US" w:eastAsia="zh-CN"/>
        </w:rPr>
        <w:t>16</w:t>
      </w:r>
      <w:r>
        <w:rPr>
          <w:rFonts w:hint="eastAsia" w:ascii="仿宋" w:hAnsi="仿宋" w:eastAsia="仿宋"/>
          <w:kern w:val="0"/>
          <w:szCs w:val="32"/>
        </w:rPr>
        <w:t>人，编制数</w:t>
      </w:r>
      <w:r>
        <w:rPr>
          <w:rFonts w:ascii="仿宋" w:hAnsi="仿宋" w:eastAsia="仿宋"/>
          <w:kern w:val="0"/>
          <w:szCs w:val="32"/>
        </w:rPr>
        <w:t>17</w:t>
      </w:r>
      <w:r>
        <w:rPr>
          <w:rFonts w:hint="eastAsia" w:ascii="仿宋" w:hAnsi="仿宋" w:eastAsia="仿宋"/>
          <w:kern w:val="0"/>
          <w:szCs w:val="32"/>
        </w:rPr>
        <w:t>人，领导职数</w:t>
      </w:r>
      <w:r>
        <w:rPr>
          <w:rFonts w:ascii="仿宋" w:hAnsi="仿宋" w:eastAsia="仿宋"/>
          <w:kern w:val="0"/>
          <w:szCs w:val="32"/>
        </w:rPr>
        <w:t>7</w:t>
      </w:r>
      <w:r>
        <w:rPr>
          <w:rFonts w:hint="eastAsia" w:ascii="仿宋" w:hAnsi="仿宋" w:eastAsia="仿宋"/>
          <w:kern w:val="0"/>
          <w:szCs w:val="32"/>
        </w:rPr>
        <w:t>个。</w:t>
      </w:r>
    </w:p>
    <w:p>
      <w:pPr>
        <w:pStyle w:val="12"/>
        <w:ind w:firstLine="627" w:firstLineChars="196"/>
        <w:rPr>
          <w:rFonts w:ascii="仿宋" w:hAnsi="仿宋" w:eastAsia="仿宋"/>
          <w:kern w:val="0"/>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211.37</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25.23</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人员经费有增幅</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pPr>
        <w:pStyle w:val="11"/>
        <w:ind w:firstLine="640" w:firstLineChars="200"/>
        <w:jc w:val="left"/>
        <w:rPr>
          <w:rFonts w:hint="eastAsia" w:ascii="楷体" w:hAnsi="楷体" w:eastAsia="楷体"/>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236.60万元，占100%；上年结转 0元，占0%。本年收入中，一般公共预算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0%；其他收入0元，占0%。</w:t>
      </w: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236.60万元，上年结转0元。支出包括：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190.64</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20.02</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9.90</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16.04</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236.60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w:t>
      </w:r>
      <w:r>
        <w:rPr>
          <w:rFonts w:hint="eastAsia" w:ascii="仿宋" w:hAnsi="仿宋" w:eastAsia="仿宋" w:cs="仿宋"/>
          <w:sz w:val="32"/>
          <w:szCs w:val="32"/>
          <w:highlight w:val="none"/>
        </w:rPr>
        <w:t>员经费</w:t>
      </w:r>
      <w:r>
        <w:rPr>
          <w:rFonts w:hint="eastAsia" w:ascii="仿宋" w:hAnsi="仿宋" w:eastAsia="仿宋" w:cs="仿宋"/>
          <w:sz w:val="32"/>
          <w:szCs w:val="32"/>
          <w:highlight w:val="none"/>
          <w:lang w:val="en-US" w:eastAsia="zh-CN"/>
        </w:rPr>
        <w:t>179.84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76.01</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56.76</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23.99</w:t>
      </w:r>
      <w:r>
        <w:rPr>
          <w:rFonts w:hint="eastAsia" w:ascii="仿宋" w:hAnsi="仿宋" w:eastAsia="仿宋" w:cs="仿宋"/>
          <w:sz w:val="32"/>
          <w:szCs w:val="32"/>
          <w:highlight w:val="none"/>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一般公共服务（类）支出</w:t>
      </w:r>
      <w:r>
        <w:rPr>
          <w:rFonts w:hint="eastAsia" w:ascii="仿宋" w:hAnsi="仿宋" w:eastAsia="仿宋" w:cs="仿宋"/>
          <w:sz w:val="32"/>
          <w:szCs w:val="32"/>
          <w:highlight w:val="none"/>
          <w:lang w:val="en-US" w:eastAsia="zh-CN"/>
        </w:rPr>
        <w:t>190.64万元，占80.6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rPr>
        <w:t>人员经费（基本工资、津贴补贴等）及办公费、印刷费、水费、电费、邮电费、邮电费、差旅费、工会经费、福利费等。</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社会保障和就业（类）支出20.02万元，占8.5</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rPr>
        <w:t>职工基本养老保险缴费支出</w:t>
      </w:r>
      <w:r>
        <w:rPr>
          <w:rFonts w:hint="eastAsia" w:ascii="仿宋" w:hAnsi="仿宋" w:eastAsia="仿宋" w:cs="仿宋"/>
          <w:sz w:val="32"/>
          <w:szCs w:val="32"/>
          <w:highlight w:val="none"/>
          <w:lang w:val="en-US" w:eastAsia="zh-CN"/>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卫生健康（类）支出9.90万元，占4.2</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rPr>
        <w:t>职工基本医疗保险、</w:t>
      </w:r>
      <w:r>
        <w:rPr>
          <w:rFonts w:hint="eastAsia" w:ascii="仿宋" w:hAnsi="仿宋" w:eastAsia="仿宋" w:cs="仿宋"/>
          <w:sz w:val="32"/>
          <w:szCs w:val="32"/>
          <w:lang w:val="en-US" w:eastAsia="zh-CN"/>
        </w:rPr>
        <w:t>大额补充医疗保险、</w:t>
      </w:r>
      <w:r>
        <w:rPr>
          <w:rFonts w:hint="eastAsia" w:ascii="仿宋" w:hAnsi="仿宋" w:eastAsia="仿宋" w:cs="仿宋"/>
          <w:sz w:val="32"/>
          <w:szCs w:val="32"/>
        </w:rPr>
        <w:t>工伤保险</w:t>
      </w:r>
      <w:r>
        <w:rPr>
          <w:rFonts w:hint="eastAsia" w:ascii="仿宋" w:hAnsi="仿宋" w:eastAsia="仿宋" w:cs="仿宋"/>
          <w:sz w:val="32"/>
          <w:szCs w:val="32"/>
          <w:highlight w:val="none"/>
          <w:lang w:val="en-US" w:eastAsia="zh-CN"/>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住房保障（类）支出16.04万元，占6.7</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rPr>
        <w:t>在职人员住房公积金</w:t>
      </w:r>
      <w:r>
        <w:rPr>
          <w:rFonts w:hint="eastAsia" w:ascii="仿宋" w:hAnsi="仿宋" w:eastAsia="仿宋" w:cs="仿宋"/>
          <w:sz w:val="32"/>
          <w:szCs w:val="32"/>
          <w:highlight w:val="none"/>
          <w:lang w:val="en-US" w:eastAsia="zh-CN"/>
        </w:rPr>
        <w:t>。</w:t>
      </w:r>
    </w:p>
    <w:p>
      <w:pPr>
        <w:ind w:firstLine="640" w:firstLineChars="200"/>
        <w:rPr>
          <w:rFonts w:hint="eastAsia" w:ascii="楷体" w:hAnsi="楷体" w:eastAsia="楷体"/>
          <w:kern w:val="0"/>
          <w:sz w:val="32"/>
          <w:szCs w:val="32"/>
          <w:highlight w:val="none"/>
          <w:lang w:val="en-US" w:eastAsia="zh-CN"/>
        </w:rPr>
      </w:pP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2025年一般公共预算基本支出236.60万元，其中：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179.84</w:t>
      </w:r>
      <w:r>
        <w:rPr>
          <w:rFonts w:hint="eastAsia" w:ascii="仿宋" w:hAnsi="仿宋" w:eastAsia="仿宋"/>
          <w:sz w:val="32"/>
          <w:szCs w:val="32"/>
          <w:highlight w:val="none"/>
        </w:rPr>
        <w:t>万元，主要包括：</w:t>
      </w:r>
      <w:r>
        <w:rPr>
          <w:rFonts w:hint="eastAsia" w:ascii="仿宋" w:hAnsi="仿宋" w:eastAsia="仿宋"/>
          <w:sz w:val="32"/>
          <w:szCs w:val="32"/>
        </w:rPr>
        <w:t>基本工资、津贴补贴、奖金、绩效工资、机关事业单位基本养老保险缴费、职工基本医疗保险缴费、其他社会保障缴费、住房公积金、其他工资福利支出、离退休费、生活补助、其他对个人和家庭补助支出等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56.76</w:t>
      </w:r>
      <w:r>
        <w:rPr>
          <w:rFonts w:hint="eastAsia" w:ascii="仿宋" w:hAnsi="仿宋" w:eastAsia="仿宋"/>
          <w:sz w:val="32"/>
          <w:szCs w:val="32"/>
          <w:highlight w:val="none"/>
        </w:rPr>
        <w:t>万元，主要包括：</w:t>
      </w:r>
      <w:r>
        <w:rPr>
          <w:rFonts w:hint="eastAsia" w:ascii="仿宋" w:hAnsi="仿宋" w:eastAsia="仿宋"/>
          <w:sz w:val="32"/>
          <w:szCs w:val="32"/>
        </w:rPr>
        <w:t>办公费、印刷费、水费、电费、邮电费、取暖费、差旅费、公务接待费、工会经费、公务用车运行维护费、其他交通费用、其他商品和服务支出等</w:t>
      </w:r>
      <w:r>
        <w:rPr>
          <w:rFonts w:hint="eastAsia" w:ascii="仿宋" w:hAnsi="仿宋" w:eastAsia="仿宋"/>
          <w:sz w:val="32"/>
          <w:szCs w:val="32"/>
          <w:highlight w:val="none"/>
        </w:rPr>
        <w:t>。</w:t>
      </w:r>
    </w:p>
    <w:p>
      <w:pPr>
        <w:pStyle w:val="9"/>
        <w:ind w:firstLine="627" w:firstLineChars="196"/>
        <w:rPr>
          <w:rFonts w:hint="eastAsia"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40" w:firstLineChars="200"/>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4.7</w:t>
      </w:r>
      <w:r>
        <w:rPr>
          <w:rFonts w:hint="eastAsia" w:ascii="仿宋" w:hAnsi="仿宋" w:eastAsia="仿宋"/>
          <w:kern w:val="0"/>
          <w:sz w:val="32"/>
          <w:szCs w:val="32"/>
          <w:highlight w:val="none"/>
        </w:rPr>
        <w:t>万元，</w:t>
      </w:r>
      <w:r>
        <w:rPr>
          <w:rFonts w:hint="eastAsia" w:ascii="仿宋" w:hAnsi="仿宋" w:eastAsia="仿宋"/>
          <w:kern w:val="0"/>
          <w:sz w:val="32"/>
          <w:szCs w:val="32"/>
        </w:rPr>
        <w:t>与</w:t>
      </w:r>
      <w:r>
        <w:rPr>
          <w:rFonts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年预算相同</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1.5</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pPr>
        <w:pStyle w:val="9"/>
        <w:ind w:firstLine="640" w:firstLineChars="200"/>
        <w:rPr>
          <w:rFonts w:ascii="楷体" w:hAnsi="楷体" w:eastAsia="楷体"/>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rPr>
        <w:t>部门本级</w:t>
      </w:r>
      <w:r>
        <w:rPr>
          <w:rFonts w:ascii="仿宋" w:hAnsi="仿宋" w:eastAsia="仿宋"/>
          <w:sz w:val="32"/>
          <w:szCs w:val="32"/>
        </w:rPr>
        <w:t>1</w:t>
      </w:r>
      <w:r>
        <w:rPr>
          <w:rFonts w:hint="eastAsia" w:ascii="仿宋" w:hAnsi="仿宋" w:eastAsia="仿宋"/>
          <w:sz w:val="32"/>
          <w:szCs w:val="32"/>
        </w:rPr>
        <w:t>家行政单位的机关运行经费财政拨款预算</w:t>
      </w:r>
      <w:r>
        <w:rPr>
          <w:rFonts w:hint="eastAsia" w:ascii="仿宋" w:hAnsi="仿宋" w:eastAsia="仿宋"/>
          <w:sz w:val="32"/>
          <w:szCs w:val="32"/>
          <w:highlight w:val="none"/>
          <w:lang w:val="en-US" w:eastAsia="zh-CN"/>
        </w:rPr>
        <w:t>56.76</w:t>
      </w:r>
      <w:r>
        <w:rPr>
          <w:rFonts w:hint="eastAsia" w:ascii="仿宋" w:hAnsi="仿宋" w:eastAsia="仿宋"/>
          <w:sz w:val="32"/>
          <w:szCs w:val="32"/>
        </w:rPr>
        <w:t>万元，比</w:t>
      </w:r>
      <w:r>
        <w:rPr>
          <w:rFonts w:ascii="仿宋" w:hAnsi="仿宋" w:eastAsia="仿宋"/>
          <w:sz w:val="32"/>
          <w:szCs w:val="32"/>
        </w:rPr>
        <w:t xml:space="preserve">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增加了13.21</w:t>
      </w:r>
      <w:r>
        <w:rPr>
          <w:rFonts w:hint="eastAsia" w:ascii="仿宋" w:hAnsi="仿宋" w:eastAsia="仿宋"/>
          <w:sz w:val="32"/>
          <w:szCs w:val="32"/>
        </w:rPr>
        <w:t>万元，</w:t>
      </w:r>
      <w:r>
        <w:rPr>
          <w:rFonts w:hint="eastAsia" w:ascii="仿宋" w:hAnsi="仿宋" w:eastAsia="仿宋"/>
          <w:sz w:val="32"/>
          <w:szCs w:val="32"/>
          <w:lang w:val="en-US" w:eastAsia="zh-CN"/>
        </w:rPr>
        <w:t>增长30.3</w:t>
      </w:r>
      <w:r>
        <w:rPr>
          <w:rFonts w:ascii="仿宋" w:hAnsi="仿宋" w:eastAsia="仿宋"/>
          <w:sz w:val="32"/>
          <w:szCs w:val="32"/>
          <w:highlight w:val="none"/>
        </w:rPr>
        <w:t>%</w:t>
      </w:r>
      <w:r>
        <w:rPr>
          <w:rFonts w:hint="eastAsia" w:ascii="仿宋" w:hAnsi="仿宋" w:eastAsia="仿宋"/>
          <w:sz w:val="32"/>
          <w:szCs w:val="32"/>
          <w:highlight w:val="none"/>
        </w:rPr>
        <w:t>，主要原因是</w:t>
      </w:r>
      <w:r>
        <w:rPr>
          <w:rFonts w:hint="eastAsia" w:ascii="仿宋" w:hAnsi="仿宋" w:eastAsia="仿宋"/>
          <w:sz w:val="32"/>
          <w:szCs w:val="32"/>
          <w:highlight w:val="none"/>
          <w:lang w:val="en-US" w:eastAsia="zh-CN"/>
        </w:rPr>
        <w:t>人员增加，增加了工作经费。</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640" w:firstLineChars="200"/>
        <w:jc w:val="left"/>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元。    </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rPr>
        <w:t>按照全面实施预算绩效管理的要求，结合本部门职能和重点工作，</w:t>
      </w:r>
      <w:r>
        <w:rPr>
          <w:rFonts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年本单位无预算项目，涉及金额</w:t>
      </w:r>
      <w:r>
        <w:rPr>
          <w:rFonts w:ascii="仿宋" w:hAnsi="仿宋" w:eastAsia="仿宋"/>
          <w:sz w:val="32"/>
          <w:szCs w:val="32"/>
        </w:rPr>
        <w:t xml:space="preserve"> 0</w:t>
      </w:r>
      <w:r>
        <w:rPr>
          <w:rFonts w:hint="eastAsia" w:ascii="仿宋" w:hAnsi="仿宋" w:eastAsia="仿宋"/>
          <w:sz w:val="32"/>
          <w:szCs w:val="32"/>
        </w:rPr>
        <w:t>元。</w:t>
      </w: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ascii="黑体" w:hAnsi="黑体" w:eastAsia="黑体"/>
          <w:sz w:val="32"/>
          <w:szCs w:val="32"/>
          <w:highlight w:val="none"/>
        </w:rPr>
      </w:pPr>
      <w:bookmarkStart w:id="0" w:name="_GoBack"/>
      <w:bookmarkEnd w:id="0"/>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hint="eastAsia"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val="en-US" w:eastAsia="zh-CN"/>
        </w:rPr>
        <w:t>附电子表格</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91293"/>
    <w:rsid w:val="00ED0CE4"/>
    <w:rsid w:val="00F30AB2"/>
    <w:rsid w:val="00F51569"/>
    <w:rsid w:val="00FD1DC5"/>
    <w:rsid w:val="01640BD1"/>
    <w:rsid w:val="018E6F43"/>
    <w:rsid w:val="01EC1B1D"/>
    <w:rsid w:val="034968DF"/>
    <w:rsid w:val="03D7309C"/>
    <w:rsid w:val="03F248D4"/>
    <w:rsid w:val="060528DB"/>
    <w:rsid w:val="07C71E05"/>
    <w:rsid w:val="0A450E4E"/>
    <w:rsid w:val="0A7F599D"/>
    <w:rsid w:val="0B4115AF"/>
    <w:rsid w:val="0C633590"/>
    <w:rsid w:val="0C7C5D37"/>
    <w:rsid w:val="0D0F40E1"/>
    <w:rsid w:val="0E0E4A27"/>
    <w:rsid w:val="0E235FAD"/>
    <w:rsid w:val="0E933B6E"/>
    <w:rsid w:val="0F4C4086"/>
    <w:rsid w:val="10D9450A"/>
    <w:rsid w:val="112B3A0C"/>
    <w:rsid w:val="117169F8"/>
    <w:rsid w:val="118C3D75"/>
    <w:rsid w:val="11DF6BD5"/>
    <w:rsid w:val="12C62CA4"/>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527010D"/>
    <w:rsid w:val="2558293C"/>
    <w:rsid w:val="26DC2BFA"/>
    <w:rsid w:val="27063D31"/>
    <w:rsid w:val="27742DDB"/>
    <w:rsid w:val="27747EDE"/>
    <w:rsid w:val="277B13CF"/>
    <w:rsid w:val="285B5D80"/>
    <w:rsid w:val="28753BF0"/>
    <w:rsid w:val="28AA47B7"/>
    <w:rsid w:val="28CB641B"/>
    <w:rsid w:val="29207EE3"/>
    <w:rsid w:val="2AC832F5"/>
    <w:rsid w:val="2D742D12"/>
    <w:rsid w:val="2E3342C6"/>
    <w:rsid w:val="344D4C9B"/>
    <w:rsid w:val="34A905DD"/>
    <w:rsid w:val="36273D08"/>
    <w:rsid w:val="37361A0B"/>
    <w:rsid w:val="38253B59"/>
    <w:rsid w:val="385B501F"/>
    <w:rsid w:val="38DE30B8"/>
    <w:rsid w:val="38E94FBA"/>
    <w:rsid w:val="39284901"/>
    <w:rsid w:val="3A482539"/>
    <w:rsid w:val="3A915046"/>
    <w:rsid w:val="3C4C15D1"/>
    <w:rsid w:val="3CEA5A8A"/>
    <w:rsid w:val="3D897F97"/>
    <w:rsid w:val="3DA7578C"/>
    <w:rsid w:val="3F597259"/>
    <w:rsid w:val="3F6B774D"/>
    <w:rsid w:val="41073419"/>
    <w:rsid w:val="42202CED"/>
    <w:rsid w:val="426F369B"/>
    <w:rsid w:val="430260DD"/>
    <w:rsid w:val="442476FC"/>
    <w:rsid w:val="442F01B5"/>
    <w:rsid w:val="46C17DAD"/>
    <w:rsid w:val="46F64D5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230FC9"/>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6EB92B57"/>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2839</Words>
  <Characters>3090</Characters>
  <Lines>19</Lines>
  <Paragraphs>5</Paragraphs>
  <TotalTime>5</TotalTime>
  <ScaleCrop>false</ScaleCrop>
  <LinksUpToDate>false</LinksUpToDate>
  <CharactersWithSpaces>3266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2025-02-12T01:25:53Z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015E53AB75C04A42A540DA5266089B66</vt:lpwstr>
  </property>
  <property fmtid="{D5CDD505-2E9C-101B-9397-08002B2CF9AE}" pid="4" name="KSOTemplateDocerSaveRecord">
    <vt:lpwstr>eyJoZGlkIjoiNGM3ZGIxMDkyMTRiZWJhOWU1MGFkN2YwNDc5MzYzMzIiLCJ1c2VySWQiOiI0MjE5MjYzNzkifQ==</vt:lpwstr>
  </property>
</Properties>
</file>