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E4914">
      <w:pPr>
        <w:jc w:val="center"/>
        <w:rPr>
          <w:rFonts w:hint="eastAsia" w:ascii="黑体" w:hAnsi="黑体" w:eastAsia="黑体"/>
          <w:sz w:val="44"/>
          <w:szCs w:val="44"/>
          <w:highlight w:val="none"/>
          <w:lang w:val="en-US" w:eastAsia="zh-CN"/>
        </w:rPr>
      </w:pPr>
    </w:p>
    <w:p w14:paraId="1AE9A7C1">
      <w:pPr>
        <w:jc w:val="center"/>
        <w:rPr>
          <w:rFonts w:hint="eastAsia" w:ascii="黑体" w:hAnsi="黑体" w:eastAsia="黑体"/>
          <w:sz w:val="44"/>
          <w:szCs w:val="44"/>
          <w:highlight w:val="none"/>
          <w:lang w:val="en-US" w:eastAsia="zh-CN"/>
        </w:rPr>
      </w:pPr>
    </w:p>
    <w:p w14:paraId="152BC642">
      <w:pPr>
        <w:jc w:val="center"/>
        <w:rPr>
          <w:rFonts w:hint="eastAsia" w:ascii="黑体" w:hAnsi="黑体" w:eastAsia="黑体"/>
          <w:sz w:val="44"/>
          <w:szCs w:val="44"/>
          <w:highlight w:val="none"/>
          <w:lang w:val="en-US" w:eastAsia="zh-CN"/>
        </w:rPr>
      </w:pPr>
    </w:p>
    <w:p w14:paraId="4620BC68">
      <w:pPr>
        <w:jc w:val="center"/>
        <w:rPr>
          <w:rFonts w:hint="eastAsia" w:ascii="黑体" w:hAnsi="黑体" w:eastAsia="黑体"/>
          <w:sz w:val="44"/>
          <w:szCs w:val="44"/>
          <w:highlight w:val="none"/>
          <w:lang w:val="en-US" w:eastAsia="zh-CN"/>
        </w:rPr>
      </w:pPr>
    </w:p>
    <w:p w14:paraId="175E3109">
      <w:pPr>
        <w:jc w:val="center"/>
        <w:rPr>
          <w:rFonts w:hint="eastAsia" w:ascii="黑体" w:hAnsi="黑体" w:eastAsia="黑体"/>
          <w:sz w:val="44"/>
          <w:szCs w:val="44"/>
          <w:highlight w:val="none"/>
          <w:lang w:val="en-US" w:eastAsia="zh-CN"/>
        </w:rPr>
      </w:pPr>
    </w:p>
    <w:p w14:paraId="6AC63FEE">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天岗镇人民政府2025年部门预算汇总</w:t>
      </w:r>
    </w:p>
    <w:p w14:paraId="46C04376">
      <w:pPr>
        <w:jc w:val="center"/>
        <w:rPr>
          <w:rFonts w:hint="eastAsia" w:ascii="黑体" w:hAnsi="黑体" w:eastAsia="黑体"/>
          <w:sz w:val="44"/>
          <w:szCs w:val="44"/>
          <w:highlight w:val="none"/>
        </w:rPr>
      </w:pPr>
      <w:bookmarkStart w:id="0" w:name="_GoBack"/>
      <w:bookmarkEnd w:id="0"/>
    </w:p>
    <w:p w14:paraId="75445D95">
      <w:pPr>
        <w:jc w:val="center"/>
        <w:rPr>
          <w:rFonts w:hint="eastAsia" w:ascii="黑体" w:hAnsi="黑体" w:eastAsia="黑体"/>
          <w:sz w:val="44"/>
          <w:szCs w:val="44"/>
          <w:highlight w:val="none"/>
        </w:rPr>
      </w:pPr>
    </w:p>
    <w:p w14:paraId="03CEB92E">
      <w:pPr>
        <w:jc w:val="center"/>
        <w:rPr>
          <w:rFonts w:hint="eastAsia" w:ascii="黑体" w:hAnsi="黑体" w:eastAsia="黑体"/>
          <w:sz w:val="44"/>
          <w:szCs w:val="44"/>
          <w:highlight w:val="none"/>
        </w:rPr>
      </w:pPr>
    </w:p>
    <w:p w14:paraId="3F59835A">
      <w:pPr>
        <w:jc w:val="center"/>
        <w:rPr>
          <w:rFonts w:hint="eastAsia" w:ascii="黑体" w:hAnsi="黑体" w:eastAsia="黑体"/>
          <w:sz w:val="44"/>
          <w:szCs w:val="44"/>
          <w:highlight w:val="none"/>
        </w:rPr>
      </w:pPr>
    </w:p>
    <w:p w14:paraId="159563F1">
      <w:pPr>
        <w:jc w:val="center"/>
        <w:rPr>
          <w:rFonts w:hint="eastAsia" w:ascii="黑体" w:hAnsi="黑体" w:eastAsia="黑体"/>
          <w:sz w:val="44"/>
          <w:szCs w:val="44"/>
          <w:highlight w:val="none"/>
        </w:rPr>
      </w:pPr>
    </w:p>
    <w:p w14:paraId="6877E005">
      <w:pPr>
        <w:jc w:val="center"/>
        <w:rPr>
          <w:rFonts w:hint="eastAsia" w:ascii="黑体" w:hAnsi="黑体" w:eastAsia="黑体"/>
          <w:sz w:val="44"/>
          <w:szCs w:val="44"/>
          <w:highlight w:val="none"/>
        </w:rPr>
      </w:pPr>
    </w:p>
    <w:p w14:paraId="2F8FF297">
      <w:pPr>
        <w:jc w:val="center"/>
        <w:rPr>
          <w:rFonts w:hint="eastAsia" w:ascii="黑体" w:hAnsi="黑体" w:eastAsia="黑体"/>
          <w:sz w:val="44"/>
          <w:szCs w:val="44"/>
          <w:highlight w:val="none"/>
        </w:rPr>
      </w:pPr>
    </w:p>
    <w:p w14:paraId="3A9C173E">
      <w:pPr>
        <w:jc w:val="center"/>
        <w:rPr>
          <w:rFonts w:hint="eastAsia" w:ascii="黑体" w:hAnsi="黑体" w:eastAsia="黑体"/>
          <w:sz w:val="44"/>
          <w:szCs w:val="44"/>
          <w:highlight w:val="none"/>
        </w:rPr>
      </w:pPr>
    </w:p>
    <w:p w14:paraId="30A73CF3">
      <w:pPr>
        <w:jc w:val="center"/>
        <w:rPr>
          <w:rFonts w:hint="eastAsia" w:ascii="黑体" w:hAnsi="黑体" w:eastAsia="黑体"/>
          <w:sz w:val="44"/>
          <w:szCs w:val="44"/>
          <w:highlight w:val="none"/>
        </w:rPr>
      </w:pPr>
    </w:p>
    <w:p w14:paraId="51060FF3">
      <w:pPr>
        <w:jc w:val="center"/>
        <w:rPr>
          <w:rFonts w:hint="eastAsia" w:ascii="黑体" w:hAnsi="黑体" w:eastAsia="黑体"/>
          <w:sz w:val="44"/>
          <w:szCs w:val="44"/>
          <w:highlight w:val="none"/>
        </w:rPr>
      </w:pPr>
    </w:p>
    <w:p w14:paraId="1A63E5DA">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二〇二五年一月二十一日</w:t>
      </w:r>
    </w:p>
    <w:p w14:paraId="48218C00">
      <w:pPr>
        <w:jc w:val="center"/>
        <w:rPr>
          <w:rFonts w:hint="eastAsia" w:ascii="黑体" w:hAnsi="黑体" w:eastAsia="黑体"/>
          <w:sz w:val="44"/>
          <w:szCs w:val="44"/>
          <w:highlight w:val="none"/>
        </w:rPr>
      </w:pPr>
    </w:p>
    <w:p w14:paraId="6ACCF8C3">
      <w:pPr>
        <w:jc w:val="center"/>
        <w:rPr>
          <w:rFonts w:hint="eastAsia" w:ascii="黑体" w:hAnsi="黑体" w:eastAsia="黑体"/>
          <w:sz w:val="44"/>
          <w:szCs w:val="44"/>
          <w:highlight w:val="none"/>
        </w:rPr>
      </w:pPr>
    </w:p>
    <w:p w14:paraId="30F63CB8">
      <w:pPr>
        <w:jc w:val="center"/>
        <w:rPr>
          <w:rFonts w:hint="eastAsia" w:ascii="黑体" w:hAnsi="黑体" w:eastAsia="黑体"/>
          <w:sz w:val="44"/>
          <w:szCs w:val="44"/>
          <w:highlight w:val="none"/>
        </w:rPr>
      </w:pPr>
    </w:p>
    <w:p w14:paraId="441988A7">
      <w:pPr>
        <w:jc w:val="center"/>
        <w:rPr>
          <w:rFonts w:hint="eastAsia" w:ascii="黑体" w:hAnsi="黑体" w:eastAsia="黑体"/>
          <w:sz w:val="44"/>
          <w:szCs w:val="44"/>
          <w:highlight w:val="none"/>
        </w:rPr>
      </w:pPr>
    </w:p>
    <w:p w14:paraId="56C6542F">
      <w:pPr>
        <w:jc w:val="center"/>
        <w:rPr>
          <w:rFonts w:hint="eastAsia" w:ascii="黑体" w:hAnsi="黑体" w:eastAsia="黑体"/>
          <w:sz w:val="44"/>
          <w:szCs w:val="44"/>
          <w:highlight w:val="none"/>
        </w:rPr>
      </w:pPr>
    </w:p>
    <w:p w14:paraId="7B9B4357">
      <w:pPr>
        <w:jc w:val="center"/>
        <w:rPr>
          <w:rFonts w:hint="eastAsia" w:ascii="黑体" w:hAnsi="黑体" w:eastAsia="黑体"/>
          <w:sz w:val="44"/>
          <w:szCs w:val="44"/>
          <w:highlight w:val="none"/>
        </w:rPr>
      </w:pPr>
    </w:p>
    <w:p w14:paraId="0D60E461">
      <w:pPr>
        <w:jc w:val="center"/>
        <w:rPr>
          <w:rFonts w:ascii="黑体" w:hAnsi="黑体" w:eastAsia="黑体"/>
          <w:sz w:val="44"/>
          <w:szCs w:val="44"/>
        </w:rPr>
      </w:pPr>
      <w:r>
        <w:rPr>
          <w:rFonts w:hint="eastAsia" w:ascii="黑体" w:hAnsi="黑体" w:eastAsia="黑体"/>
          <w:sz w:val="44"/>
          <w:szCs w:val="44"/>
        </w:rPr>
        <w:t>蛟河市天岗镇人民政府</w:t>
      </w:r>
    </w:p>
    <w:p w14:paraId="1B304AC0">
      <w:pPr>
        <w:jc w:val="center"/>
        <w:rPr>
          <w:rFonts w:ascii="黑体" w:hAnsi="黑体" w:eastAsia="黑体"/>
          <w:sz w:val="44"/>
          <w:szCs w:val="44"/>
          <w:highlight w:val="none"/>
        </w:rPr>
      </w:pP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23703DE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704B8B75">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38C8141C">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660F687B">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1E3F980E">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2A0B7B3E">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1B9DA8B7">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BDCAB9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540003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58F86F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038A17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9614B9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D21AAB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4F01185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1450CC1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58D4A47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1805BC9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1E6424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6E34715E">
      <w:pPr>
        <w:rPr>
          <w:rFonts w:ascii="仿宋" w:hAnsi="仿宋" w:eastAsia="仿宋"/>
          <w:sz w:val="32"/>
          <w:szCs w:val="32"/>
          <w:highlight w:val="none"/>
        </w:rPr>
      </w:pPr>
    </w:p>
    <w:p w14:paraId="33D198A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7391A5B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260D1C5">
      <w:pPr>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一、主要职能</w:t>
      </w:r>
    </w:p>
    <w:p w14:paraId="4DD1B6E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名称：蛟河市天岗镇人民政府</w:t>
      </w:r>
    </w:p>
    <w:p w14:paraId="17AD16D6">
      <w:pPr>
        <w:pStyle w:val="10"/>
        <w:widowControl/>
        <w:spacing w:line="620" w:lineRule="exact"/>
        <w:ind w:firstLine="627" w:firstLineChars="196"/>
        <w:contextualSpacing/>
        <w:rPr>
          <w:rFonts w:ascii="仿宋_GB2312" w:hAnsi="仿宋_GB2312" w:eastAsia="仿宋_GB2312" w:cs="仿宋_GB2312"/>
          <w:color w:val="333333"/>
          <w:sz w:val="32"/>
          <w:szCs w:val="32"/>
          <w:shd w:val="clear" w:color="auto" w:fill="FFFFFF"/>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bCs/>
          <w:kern w:val="0"/>
          <w:sz w:val="32"/>
          <w:szCs w:val="32"/>
        </w:rPr>
        <w:t>蛟河市天岗镇人民政府是国家设在乡行政区域的最低一级行政机关，负责管理本行政区域内的政治、经济、文化、教育、卫生，以及民政、财政、司法行政、计划生育等行政事务，并对本级人民代表大会和上一级国家行政机关负责并报行工作。</w:t>
      </w:r>
    </w:p>
    <w:p w14:paraId="2285FD53">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主要职能：参政议政   民主监督   政治协商</w:t>
      </w:r>
    </w:p>
    <w:p w14:paraId="372E14CA">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主要业务：思</w:t>
      </w:r>
      <w:r>
        <w:rPr>
          <w:rFonts w:hint="eastAsia" w:ascii="仿宋" w:hAnsi="仿宋" w:eastAsia="仿宋"/>
          <w:kern w:val="0"/>
          <w:sz w:val="32"/>
          <w:szCs w:val="32"/>
        </w:rPr>
        <w:t>想建设、组织建设、参政议政、社会服务等。</w:t>
      </w:r>
    </w:p>
    <w:p w14:paraId="15D334B7">
      <w:pPr>
        <w:jc w:val="left"/>
        <w:rPr>
          <w:rFonts w:ascii="仿宋" w:hAnsi="仿宋" w:eastAsia="仿宋"/>
          <w:sz w:val="32"/>
          <w:szCs w:val="32"/>
        </w:rPr>
      </w:pPr>
      <w:r>
        <w:rPr>
          <w:rFonts w:hint="eastAsia" w:ascii="仿宋" w:hAnsi="仿宋" w:eastAsia="仿宋"/>
          <w:sz w:val="32"/>
          <w:szCs w:val="32"/>
        </w:rPr>
        <w:t>二、机构设置</w:t>
      </w:r>
    </w:p>
    <w:p w14:paraId="418301FE">
      <w:pPr>
        <w:pStyle w:val="12"/>
        <w:ind w:firstLine="627" w:firstLineChars="196"/>
        <w:rPr>
          <w:rFonts w:ascii="仿宋_GB2312"/>
          <w:kern w:val="0"/>
        </w:rPr>
      </w:pPr>
      <w:r>
        <w:rPr>
          <w:rFonts w:hint="eastAsia" w:ascii="仿宋" w:hAnsi="仿宋" w:eastAsia="仿宋"/>
          <w:kern w:val="0"/>
          <w:szCs w:val="32"/>
        </w:rPr>
        <w:t>机构设置包括：综合办公室、党建工作办公室、平安建设办公室、社会事务办公室、农业农村办公室、综合行政执法办公室、乡村振兴办公室、经济发展办公室；</w:t>
      </w:r>
      <w:r>
        <w:rPr>
          <w:rFonts w:hint="eastAsia" w:ascii="仿宋_GB2312" w:hAnsi="仿宋_GB2312" w:cs="仿宋_GB2312"/>
          <w:kern w:val="0"/>
        </w:rPr>
        <w:t>农业农机站、农经站、畜牧兽医站、水利所、自然资源所、林业站、文体站、社会保障所（计生站）、退役军人服务站、人居环境整治办公室、应急服务站。</w:t>
      </w:r>
    </w:p>
    <w:p w14:paraId="7EDD6BEA">
      <w:pPr>
        <w:pStyle w:val="12"/>
        <w:rPr>
          <w:rFonts w:hint="default" w:ascii="仿宋" w:hAnsi="仿宋" w:eastAsia="仿宋"/>
          <w:kern w:val="0"/>
          <w:szCs w:val="32"/>
          <w:highlight w:val="none"/>
          <w:lang w:val="en-US" w:eastAsia="zh-CN"/>
        </w:rPr>
      </w:pPr>
      <w:r>
        <w:rPr>
          <w:rFonts w:hint="eastAsia" w:ascii="仿宋" w:hAnsi="仿宋" w:eastAsia="仿宋"/>
          <w:kern w:val="0"/>
          <w:szCs w:val="32"/>
        </w:rPr>
        <w:t>人员情况：</w:t>
      </w:r>
      <w:r>
        <w:rPr>
          <w:rFonts w:hint="eastAsia" w:ascii="仿宋" w:hAnsi="仿宋" w:eastAsia="仿宋"/>
          <w:kern w:val="0"/>
          <w:szCs w:val="32"/>
          <w:highlight w:val="none"/>
          <w:lang w:val="en-US" w:eastAsia="zh-CN"/>
        </w:rPr>
        <w:t>行政在职25人，编制数32人，领导职数13人。</w:t>
      </w:r>
    </w:p>
    <w:p w14:paraId="30D027D0">
      <w:pPr>
        <w:pStyle w:val="12"/>
        <w:rPr>
          <w:rFonts w:hint="eastAsia" w:ascii="仿宋" w:hAnsi="仿宋" w:eastAsia="仿宋"/>
          <w:kern w:val="0"/>
          <w:szCs w:val="32"/>
          <w:highlight w:val="none"/>
          <w:lang w:val="en-US" w:eastAsia="zh-CN"/>
        </w:rPr>
      </w:pPr>
      <w:r>
        <w:rPr>
          <w:rFonts w:hint="eastAsia" w:ascii="仿宋" w:hAnsi="仿宋" w:eastAsia="仿宋"/>
          <w:kern w:val="0"/>
          <w:szCs w:val="32"/>
          <w:highlight w:val="none"/>
          <w:lang w:val="en-US" w:eastAsia="zh-CN"/>
        </w:rPr>
        <w:t>事业在职58人，编制数63人。</w:t>
      </w:r>
    </w:p>
    <w:p w14:paraId="6E6BA604">
      <w:pPr>
        <w:pStyle w:val="12"/>
        <w:rPr>
          <w:rFonts w:hint="default" w:ascii="仿宋" w:hAnsi="仿宋" w:eastAsia="仿宋"/>
          <w:kern w:val="0"/>
          <w:szCs w:val="32"/>
          <w:highlight w:val="yellow"/>
          <w:lang w:val="en-US" w:eastAsia="zh-CN"/>
        </w:rPr>
      </w:pPr>
    </w:p>
    <w:p w14:paraId="613F5DDE">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7E415A96">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2368D7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771D0D0D">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 874.49</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879.50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5.01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一般公共服务支出减少 </w:t>
      </w:r>
      <w:r>
        <w:rPr>
          <w:rFonts w:hint="eastAsia" w:ascii="仿宋" w:hAnsi="仿宋" w:eastAsia="仿宋"/>
          <w:sz w:val="32"/>
          <w:szCs w:val="32"/>
          <w:highlight w:val="none"/>
          <w:lang w:eastAsia="zh-CN"/>
        </w:rPr>
        <w:t>。</w:t>
      </w:r>
    </w:p>
    <w:p w14:paraId="38972C5D">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6D5C7E24">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874.49</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874.49</w:t>
      </w:r>
      <w:r>
        <w:rPr>
          <w:rFonts w:hint="eastAsia" w:ascii="仿宋" w:hAnsi="仿宋" w:eastAsia="仿宋"/>
          <w:sz w:val="32"/>
          <w:szCs w:val="32"/>
          <w:highlight w:val="none"/>
          <w:lang w:val="en-US" w:eastAsia="zh-CN"/>
        </w:rPr>
        <w:t>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874.49</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226988C4">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7EDC284F">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年支出预算874.49万元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rPr>
        <w:t>874.49</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74529654">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3108601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预算874.49万元，其中：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874.49</w:t>
      </w:r>
      <w:r>
        <w:rPr>
          <w:rFonts w:hint="eastAsia" w:ascii="仿宋" w:hAnsi="仿宋" w:eastAsia="仿宋"/>
          <w:sz w:val="32"/>
          <w:szCs w:val="32"/>
          <w:highlight w:val="none"/>
          <w:lang w:val="en-US" w:eastAsia="zh-CN"/>
        </w:rPr>
        <w:t xml:space="preserve"> 万元，上年结转 0 万元。支出包括：</w:t>
      </w:r>
      <w:r>
        <w:rPr>
          <w:rFonts w:hint="eastAsia" w:ascii="仿宋" w:hAnsi="仿宋" w:eastAsia="仿宋"/>
          <w:sz w:val="32"/>
          <w:szCs w:val="32"/>
          <w:highlight w:val="none"/>
        </w:rPr>
        <w:t>一般公共服务支出669.29万元，社会保障和就业支出91.93万元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支出43.86万元，住房保障支出69.41万元，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034FF780">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56AC457C">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年一般公共预算当年拨款874.49万元，其中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基本支出874.49万元，占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%。基本支出中，人员经费7</w:t>
      </w:r>
      <w:r>
        <w:rPr>
          <w:rFonts w:hint="eastAsia" w:ascii="仿宋" w:hAnsi="仿宋" w:eastAsia="仿宋"/>
          <w:sz w:val="32"/>
          <w:szCs w:val="32"/>
          <w:highlight w:val="none"/>
          <w:lang w:val="en-US" w:eastAsia="zh-CN"/>
        </w:rPr>
        <w:t>85.36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89.8</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89.13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10.2</w:t>
      </w:r>
      <w:r>
        <w:rPr>
          <w:rFonts w:hint="eastAsia" w:ascii="仿宋" w:hAnsi="仿宋" w:eastAsia="仿宋"/>
          <w:sz w:val="32"/>
          <w:szCs w:val="32"/>
          <w:highlight w:val="none"/>
        </w:rPr>
        <w:t>%。</w:t>
      </w:r>
    </w:p>
    <w:p w14:paraId="0D5BD0CF">
      <w:pPr>
        <w:ind w:firstLine="640" w:firstLineChars="200"/>
        <w:rPr>
          <w:rFonts w:ascii="仿宋" w:hAnsi="仿宋" w:eastAsia="仿宋"/>
          <w:sz w:val="32"/>
          <w:szCs w:val="32"/>
        </w:rPr>
      </w:pPr>
      <w:r>
        <w:rPr>
          <w:rFonts w:hint="eastAsia" w:ascii="仿宋" w:hAnsi="仿宋" w:eastAsia="仿宋"/>
          <w:sz w:val="32"/>
          <w:szCs w:val="32"/>
          <w:highlight w:val="none"/>
          <w:lang w:eastAsia="zh-CN"/>
        </w:rPr>
        <w:t>一般公共服务（201）支出</w:t>
      </w:r>
      <w:r>
        <w:rPr>
          <w:rFonts w:hint="eastAsia" w:ascii="仿宋" w:hAnsi="仿宋" w:eastAsia="仿宋"/>
          <w:sz w:val="32"/>
          <w:szCs w:val="32"/>
          <w:highlight w:val="none"/>
          <w:lang w:val="en-US" w:eastAsia="zh-CN"/>
        </w:rPr>
        <w:t xml:space="preserve"> 669.29 万元，占76.53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工资福利支出、商品和服务支出，对个人和家庭的补助支出。</w:t>
      </w:r>
    </w:p>
    <w:p w14:paraId="338A8F21">
      <w:pPr>
        <w:ind w:firstLine="640" w:firstLineChars="200"/>
        <w:rPr>
          <w:rFonts w:ascii="仿宋" w:hAnsi="仿宋" w:eastAsia="仿宋"/>
          <w:sz w:val="32"/>
          <w:szCs w:val="32"/>
        </w:rPr>
      </w:pPr>
      <w:r>
        <w:rPr>
          <w:rFonts w:hint="eastAsia" w:ascii="仿宋" w:hAnsi="仿宋" w:eastAsia="仿宋"/>
          <w:sz w:val="32"/>
          <w:szCs w:val="32"/>
          <w:highlight w:val="none"/>
          <w:lang w:val="en-US" w:eastAsia="zh-CN"/>
        </w:rPr>
        <w:t>社会保障和就业（208）支出 91.93 万元，占10.51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在职职工养老保险及失业保险支出。</w:t>
      </w:r>
    </w:p>
    <w:p w14:paraId="3D7F90D6">
      <w:pPr>
        <w:ind w:firstLine="640" w:firstLineChars="200"/>
        <w:rPr>
          <w:rFonts w:ascii="仿宋" w:hAnsi="仿宋" w:eastAsia="仿宋"/>
          <w:sz w:val="32"/>
          <w:szCs w:val="32"/>
        </w:rPr>
      </w:pPr>
      <w:r>
        <w:rPr>
          <w:rFonts w:hint="eastAsia" w:ascii="仿宋" w:hAnsi="仿宋" w:eastAsia="仿宋"/>
          <w:sz w:val="32"/>
          <w:szCs w:val="32"/>
          <w:highlight w:val="none"/>
          <w:lang w:val="en-US" w:eastAsia="zh-CN"/>
        </w:rPr>
        <w:t>卫生健康（210）支出 43.86 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在职职工医疗保险及生育保险支出。</w:t>
      </w:r>
    </w:p>
    <w:p w14:paraId="77120CA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住房保障（221）支出 69.41 万元，占7.9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在职工作人员住房公积金支出</w:t>
      </w:r>
      <w:r>
        <w:rPr>
          <w:rFonts w:hint="eastAsia" w:ascii="仿宋" w:hAnsi="仿宋" w:eastAsia="仿宋"/>
          <w:sz w:val="32"/>
          <w:szCs w:val="32"/>
          <w:lang w:eastAsia="zh-CN"/>
        </w:rPr>
        <w:t>。</w:t>
      </w:r>
    </w:p>
    <w:p w14:paraId="2C731E0B">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20BB7E4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2025年一般公共预算基本支出 </w:t>
      </w:r>
      <w:r>
        <w:rPr>
          <w:rFonts w:hint="eastAsia" w:ascii="仿宋" w:hAnsi="仿宋" w:eastAsia="仿宋"/>
          <w:sz w:val="32"/>
          <w:szCs w:val="32"/>
          <w:highlight w:val="none"/>
        </w:rPr>
        <w:t>874.49</w:t>
      </w:r>
      <w:r>
        <w:rPr>
          <w:rFonts w:hint="eastAsia" w:ascii="仿宋" w:hAnsi="仿宋" w:eastAsia="仿宋"/>
          <w:sz w:val="32"/>
          <w:szCs w:val="32"/>
          <w:highlight w:val="none"/>
          <w:lang w:val="en-US" w:eastAsia="zh-CN"/>
        </w:rPr>
        <w:t xml:space="preserve"> 万元，其中：</w:t>
      </w:r>
    </w:p>
    <w:p w14:paraId="0D34F92D">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人员经费785.3</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DC411A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89.13</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364401E9">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18D3F10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4.7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72C7DD9E">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6AC5647C">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 xml:space="preserve">1.5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3.2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67129421">
      <w:pPr>
        <w:pStyle w:val="9"/>
        <w:rPr>
          <w:rFonts w:ascii="仿宋" w:hAnsi="仿宋" w:eastAsia="仿宋"/>
          <w:kern w:val="0"/>
          <w:sz w:val="32"/>
          <w:szCs w:val="32"/>
        </w:rPr>
      </w:pPr>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w:t>
      </w:r>
      <w:r>
        <w:rPr>
          <w:rFonts w:hint="eastAsia" w:ascii="仿宋" w:hAnsi="仿宋" w:eastAsia="仿宋"/>
          <w:kern w:val="0"/>
          <w:sz w:val="32"/>
          <w:szCs w:val="32"/>
        </w:rPr>
        <w:t>公务用车运行维护费3.2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年减少0 万元，公务用车购置 0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年减少0万元。</w:t>
      </w:r>
    </w:p>
    <w:p w14:paraId="72A5CD7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729DACDD">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78620A85">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3C75AD50">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797FDD24">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6783ACDE">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0E1035B6">
      <w:pPr>
        <w:pStyle w:val="11"/>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天岗镇综合服务中心</w:t>
      </w:r>
      <w:r>
        <w:rPr>
          <w:rFonts w:hint="eastAsia" w:ascii="仿宋" w:hAnsi="仿宋" w:eastAsia="仿宋"/>
          <w:sz w:val="32"/>
          <w:szCs w:val="32"/>
          <w:highlight w:val="none"/>
        </w:rPr>
        <w:t>等</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554.77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505.99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48.78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一般公共服务支出减少 </w:t>
      </w:r>
      <w:r>
        <w:rPr>
          <w:rFonts w:hint="eastAsia" w:ascii="仿宋" w:hAnsi="仿宋" w:eastAsia="仿宋"/>
          <w:sz w:val="32"/>
          <w:szCs w:val="32"/>
          <w:highlight w:val="none"/>
          <w:lang w:eastAsia="zh-CN"/>
        </w:rPr>
        <w:t>。</w:t>
      </w:r>
    </w:p>
    <w:p w14:paraId="13157550">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54CD954E">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ACB9D35">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463F0E1">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w:t>
      </w:r>
      <w:r>
        <w:rPr>
          <w:rFonts w:hint="eastAsia" w:ascii="仿宋" w:hAnsi="仿宋" w:eastAsia="仿宋"/>
          <w:sz w:val="32"/>
          <w:szCs w:val="32"/>
        </w:rPr>
        <w:t>部门本级和所属各预算单位共有车辆1辆，其中，领导干部用车 0 辆、一般公务用车1辆,一般执法执勤用车 0辆、特种专业技术用车 0 辆、其他用车0 辆，价值200万元以上大型设备 0台（套）。</w:t>
      </w:r>
    </w:p>
    <w:p w14:paraId="7F91B34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7F15D486">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3B4A600F">
      <w:pPr>
        <w:ind w:firstLine="640"/>
        <w:jc w:val="left"/>
        <w:rPr>
          <w:rFonts w:hint="eastAsia" w:ascii="仿宋" w:hAnsi="仿宋" w:eastAsia="仿宋"/>
          <w:sz w:val="32"/>
          <w:szCs w:val="32"/>
          <w:highlight w:val="none"/>
        </w:rPr>
      </w:pPr>
      <w:r>
        <w:rPr>
          <w:rFonts w:hint="eastAsia" w:ascii="仿宋" w:hAnsi="仿宋" w:eastAsia="仿宋"/>
          <w:sz w:val="32"/>
          <w:szCs w:val="32"/>
          <w:highlight w:val="none"/>
        </w:rPr>
        <w:t>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万元。同时，将预算项目绩效目标进一步细化为绩效指标和指标值（附预算项目绩效目标申报表）。</w:t>
      </w:r>
    </w:p>
    <w:p w14:paraId="57AFA3C2">
      <w:pPr>
        <w:ind w:firstLine="640"/>
        <w:jc w:val="left"/>
        <w:rPr>
          <w:rFonts w:hint="eastAsia" w:ascii="仿宋" w:hAnsi="仿宋" w:eastAsia="仿宋"/>
          <w:sz w:val="32"/>
          <w:szCs w:val="32"/>
          <w:highlight w:val="none"/>
        </w:rPr>
      </w:pPr>
    </w:p>
    <w:p w14:paraId="6E7D1A41">
      <w:pPr>
        <w:jc w:val="left"/>
        <w:rPr>
          <w:rFonts w:ascii="仿宋" w:hAnsi="仿宋" w:eastAsia="仿宋"/>
          <w:sz w:val="32"/>
          <w:szCs w:val="32"/>
          <w:highlight w:val="none"/>
        </w:rPr>
      </w:pPr>
    </w:p>
    <w:p w14:paraId="3C74C70F">
      <w:pPr>
        <w:jc w:val="center"/>
        <w:rPr>
          <w:rFonts w:ascii="仿宋" w:hAnsi="仿宋" w:eastAsia="仿宋"/>
          <w:sz w:val="32"/>
          <w:szCs w:val="32"/>
          <w:highlight w:val="none"/>
        </w:rPr>
      </w:pPr>
    </w:p>
    <w:p w14:paraId="45D323B7">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648986B3">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1BA28AB6">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4248A9B4">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473F6C8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1E54472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7E5C7FD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492CF34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95B8EE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1940DCF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943B7E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2F1734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053BBA79">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2252EB38">
      <w:pPr>
        <w:ind w:firstLine="640" w:firstLineChars="200"/>
        <w:rPr>
          <w:rFonts w:ascii="仿宋_GB2312" w:eastAsia="仿宋_GB2312"/>
          <w:sz w:val="32"/>
          <w:szCs w:val="32"/>
          <w:highlight w:val="none"/>
        </w:rPr>
      </w:pPr>
    </w:p>
    <w:p w14:paraId="18B98AED">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397BB17">
      <w:pPr>
        <w:jc w:val="left"/>
        <w:rPr>
          <w:rFonts w:ascii="仿宋" w:hAnsi="仿宋" w:eastAsia="仿宋"/>
          <w:sz w:val="32"/>
          <w:szCs w:val="32"/>
          <w:highlight w:val="none"/>
        </w:rPr>
      </w:pPr>
    </w:p>
    <w:p w14:paraId="198A1C66">
      <w:pPr>
        <w:jc w:val="left"/>
        <w:rPr>
          <w:rFonts w:ascii="仿宋" w:hAnsi="仿宋" w:eastAsia="仿宋"/>
          <w:sz w:val="32"/>
          <w:szCs w:val="32"/>
          <w:highlight w:val="none"/>
        </w:rPr>
      </w:pPr>
    </w:p>
    <w:p w14:paraId="132411CF">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236B7358">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4BFFC0DC">
      <w:pPr>
        <w:rPr>
          <w:rFonts w:ascii="仿宋" w:hAnsi="仿宋" w:eastAsia="仿宋"/>
          <w:sz w:val="32"/>
          <w:szCs w:val="32"/>
          <w:highlight w:val="none"/>
        </w:rPr>
      </w:pPr>
    </w:p>
    <w:p w14:paraId="28723494">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ZDA0N2ExMmIzMzYxZjA0NzIwZmQ5MGQ3YjJjMzE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8A52C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D95F31"/>
    <w:rsid w:val="344D4C9B"/>
    <w:rsid w:val="34A905DD"/>
    <w:rsid w:val="36273D08"/>
    <w:rsid w:val="37361A0B"/>
    <w:rsid w:val="38253B59"/>
    <w:rsid w:val="385B501F"/>
    <w:rsid w:val="38DE30B8"/>
    <w:rsid w:val="39284901"/>
    <w:rsid w:val="3A482539"/>
    <w:rsid w:val="3A915046"/>
    <w:rsid w:val="3C4C15D1"/>
    <w:rsid w:val="3CEA5A8A"/>
    <w:rsid w:val="3D0C40A6"/>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4DE61C9"/>
    <w:rsid w:val="65255B39"/>
    <w:rsid w:val="659C7B1A"/>
    <w:rsid w:val="65E847CC"/>
    <w:rsid w:val="67286561"/>
    <w:rsid w:val="691F508E"/>
    <w:rsid w:val="6A340295"/>
    <w:rsid w:val="6A5666B8"/>
    <w:rsid w:val="6C626D3D"/>
    <w:rsid w:val="6CD56C4C"/>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2988</Words>
  <Characters>3276</Characters>
  <Lines>19</Lines>
  <Paragraphs>5</Paragraphs>
  <TotalTime>0</TotalTime>
  <ScaleCrop>false</ScaleCrop>
  <LinksUpToDate>false</LinksUpToDate>
  <CharactersWithSpaces>3421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cp:lastModifiedBy>
  <dcterms:modified xsi:type="dcterms:W3CDTF">2025-01-23T04:27:17Z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95D26F4DC64E43239AC6C89AA0E94925_13</vt:lpwstr>
  </property>
  <property fmtid="{D5CDD505-2E9C-101B-9397-08002B2CF9AE}" pid="4" name="KSOTemplateDocerSaveRecord">
    <vt:lpwstr>eyJoZGlkIjoiMzlmZDA0N2ExMmIzMzYxZjA0NzIwZmQ5MGQ3YjJjMzEiLCJ1c2VySWQiOiIxOTI0MzM2ODcifQ==</vt:lpwstr>
  </property>
</Properties>
</file>