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jc w:val="center"/>
        <w:rPr>
          <w:rFonts w:hint="eastAsia" w:ascii="黑体" w:hAnsi="黑体" w:eastAsia="黑体"/>
          <w:sz w:val="44"/>
          <w:szCs w:val="44"/>
          <w:highlight w:val="none"/>
          <w:lang w:val="en-US" w:eastAsia="zh-CN"/>
        </w:rPr>
      </w:pPr>
    </w:p>
    <w:p w14:paraId="5C463269">
      <w:pPr>
        <w:jc w:val="center"/>
        <w:rPr>
          <w:rFonts w:hint="eastAsia" w:ascii="黑体" w:hAnsi="黑体" w:eastAsia="黑体"/>
          <w:sz w:val="44"/>
          <w:szCs w:val="44"/>
          <w:highlight w:val="none"/>
          <w:lang w:val="en-US" w:eastAsia="zh-CN"/>
        </w:rPr>
      </w:pPr>
    </w:p>
    <w:p w14:paraId="3C2FC21C">
      <w:pPr>
        <w:jc w:val="center"/>
        <w:rPr>
          <w:rFonts w:hint="eastAsia" w:ascii="黑体" w:hAnsi="黑体" w:eastAsia="黑体"/>
          <w:sz w:val="44"/>
          <w:szCs w:val="44"/>
          <w:highlight w:val="none"/>
          <w:lang w:val="en-US" w:eastAsia="zh-CN"/>
        </w:rPr>
      </w:pPr>
    </w:p>
    <w:p w14:paraId="2A4506C2">
      <w:pPr>
        <w:jc w:val="center"/>
        <w:rPr>
          <w:rFonts w:hint="eastAsia" w:ascii="黑体" w:hAnsi="黑体" w:eastAsia="黑体"/>
          <w:sz w:val="44"/>
          <w:szCs w:val="44"/>
          <w:highlight w:val="none"/>
          <w:lang w:val="en-US" w:eastAsia="zh-CN"/>
        </w:rPr>
      </w:pPr>
    </w:p>
    <w:p w14:paraId="2B1E5594">
      <w:pPr>
        <w:jc w:val="center"/>
        <w:rPr>
          <w:rFonts w:hint="eastAsia" w:ascii="黑体" w:hAnsi="黑体" w:eastAsia="黑体"/>
          <w:sz w:val="44"/>
          <w:szCs w:val="44"/>
          <w:highlight w:val="none"/>
          <w:lang w:val="en-US" w:eastAsia="zh-CN"/>
        </w:rPr>
      </w:pPr>
    </w:p>
    <w:p w14:paraId="715B8FBB">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蛟河市经济责任和投资审计中心</w:t>
      </w:r>
    </w:p>
    <w:p w14:paraId="4F8B34A8">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2025年单位预算</w:t>
      </w:r>
    </w:p>
    <w:p w14:paraId="5E289FEA">
      <w:pPr>
        <w:jc w:val="center"/>
        <w:rPr>
          <w:rFonts w:hint="eastAsia" w:ascii="黑体" w:hAnsi="黑体" w:eastAsia="黑体"/>
          <w:sz w:val="44"/>
          <w:szCs w:val="44"/>
          <w:highlight w:val="none"/>
        </w:rPr>
      </w:pPr>
    </w:p>
    <w:p w14:paraId="4BE0C33C">
      <w:pPr>
        <w:jc w:val="center"/>
        <w:rPr>
          <w:rFonts w:hint="eastAsia" w:ascii="黑体" w:hAnsi="黑体" w:eastAsia="黑体"/>
          <w:sz w:val="44"/>
          <w:szCs w:val="44"/>
          <w:highlight w:val="none"/>
        </w:rPr>
      </w:pPr>
    </w:p>
    <w:p w14:paraId="549C7DEE">
      <w:pPr>
        <w:jc w:val="center"/>
        <w:rPr>
          <w:rFonts w:hint="eastAsia" w:ascii="黑体" w:hAnsi="黑体" w:eastAsia="黑体"/>
          <w:sz w:val="44"/>
          <w:szCs w:val="44"/>
          <w:highlight w:val="none"/>
        </w:rPr>
      </w:pPr>
    </w:p>
    <w:p w14:paraId="2AD24D0C">
      <w:pPr>
        <w:jc w:val="center"/>
        <w:rPr>
          <w:rFonts w:hint="eastAsia" w:ascii="黑体" w:hAnsi="黑体" w:eastAsia="黑体"/>
          <w:sz w:val="44"/>
          <w:szCs w:val="44"/>
          <w:highlight w:val="none"/>
        </w:rPr>
      </w:pPr>
    </w:p>
    <w:p w14:paraId="08176F38">
      <w:pPr>
        <w:jc w:val="center"/>
        <w:rPr>
          <w:rFonts w:hint="eastAsia" w:ascii="黑体" w:hAnsi="黑体" w:eastAsia="黑体"/>
          <w:sz w:val="44"/>
          <w:szCs w:val="44"/>
          <w:highlight w:val="none"/>
        </w:rPr>
      </w:pPr>
    </w:p>
    <w:p w14:paraId="3C68ACE2">
      <w:pPr>
        <w:jc w:val="center"/>
        <w:rPr>
          <w:rFonts w:hint="eastAsia" w:ascii="黑体" w:hAnsi="黑体" w:eastAsia="黑体"/>
          <w:sz w:val="44"/>
          <w:szCs w:val="44"/>
          <w:highlight w:val="none"/>
        </w:rPr>
      </w:pPr>
    </w:p>
    <w:p w14:paraId="05381B5C">
      <w:pPr>
        <w:jc w:val="center"/>
        <w:rPr>
          <w:rFonts w:hint="eastAsia" w:ascii="黑体" w:hAnsi="黑体" w:eastAsia="黑体"/>
          <w:sz w:val="44"/>
          <w:szCs w:val="44"/>
          <w:highlight w:val="none"/>
        </w:rPr>
      </w:pPr>
    </w:p>
    <w:p w14:paraId="7353A9A3">
      <w:pPr>
        <w:jc w:val="center"/>
        <w:rPr>
          <w:rFonts w:hint="eastAsia" w:ascii="黑体" w:hAnsi="黑体" w:eastAsia="黑体"/>
          <w:sz w:val="44"/>
          <w:szCs w:val="44"/>
          <w:highlight w:val="none"/>
        </w:rPr>
      </w:pPr>
    </w:p>
    <w:p w14:paraId="5F9636F7">
      <w:pPr>
        <w:jc w:val="center"/>
        <w:rPr>
          <w:rFonts w:hint="eastAsia" w:ascii="黑体" w:hAnsi="黑体" w:eastAsia="黑体"/>
          <w:sz w:val="44"/>
          <w:szCs w:val="44"/>
          <w:highlight w:val="none"/>
        </w:rPr>
      </w:pPr>
    </w:p>
    <w:p w14:paraId="130CB7CD">
      <w:pPr>
        <w:jc w:val="center"/>
        <w:rPr>
          <w:rFonts w:hint="eastAsia" w:ascii="黑体" w:hAnsi="黑体" w:eastAsia="黑体"/>
          <w:sz w:val="44"/>
          <w:szCs w:val="44"/>
          <w:highlight w:val="none"/>
        </w:rPr>
      </w:pPr>
    </w:p>
    <w:p w14:paraId="6A31E7AD">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二〇二五年一月十六日</w:t>
      </w:r>
    </w:p>
    <w:p w14:paraId="5B1D7CE5">
      <w:pPr>
        <w:jc w:val="center"/>
        <w:rPr>
          <w:rFonts w:hint="eastAsia" w:ascii="黑体" w:hAnsi="黑体" w:eastAsia="黑体"/>
          <w:sz w:val="44"/>
          <w:szCs w:val="44"/>
          <w:highlight w:val="none"/>
        </w:rPr>
      </w:pPr>
    </w:p>
    <w:p w14:paraId="77C4F07D">
      <w:pPr>
        <w:jc w:val="center"/>
        <w:rPr>
          <w:rFonts w:hint="eastAsia" w:ascii="黑体" w:hAnsi="黑体" w:eastAsia="黑体"/>
          <w:sz w:val="44"/>
          <w:szCs w:val="44"/>
          <w:highlight w:val="none"/>
        </w:rPr>
      </w:pPr>
    </w:p>
    <w:p w14:paraId="77DA3292">
      <w:pPr>
        <w:jc w:val="center"/>
        <w:rPr>
          <w:rFonts w:hint="eastAsia" w:ascii="黑体" w:hAnsi="黑体" w:eastAsia="黑体"/>
          <w:sz w:val="44"/>
          <w:szCs w:val="44"/>
          <w:highlight w:val="none"/>
        </w:rPr>
      </w:pPr>
    </w:p>
    <w:p w14:paraId="7EB7FC29">
      <w:pPr>
        <w:jc w:val="center"/>
        <w:rPr>
          <w:rFonts w:ascii="黑体" w:hAnsi="黑体" w:eastAsia="黑体"/>
          <w:sz w:val="44"/>
          <w:szCs w:val="44"/>
          <w:highlight w:val="none"/>
        </w:rPr>
      </w:pPr>
      <w:r>
        <w:rPr>
          <w:rFonts w:hint="eastAsia" w:ascii="黑体" w:hAnsi="黑体" w:eastAsia="黑体"/>
          <w:sz w:val="44"/>
          <w:szCs w:val="44"/>
          <w:highlight w:val="none"/>
          <w:lang w:val="en-US" w:eastAsia="zh-CN"/>
        </w:rPr>
        <w:t>蛟河市经济责任和投资审计中心</w:t>
      </w:r>
      <w:r>
        <w:rPr>
          <w:rFonts w:hint="eastAsia" w:ascii="黑体" w:hAnsi="黑体" w:eastAsia="黑体"/>
          <w:sz w:val="44"/>
          <w:szCs w:val="44"/>
          <w:highlight w:val="none"/>
          <w:lang w:eastAsia="zh-CN"/>
        </w:rPr>
        <w:t>2025</w:t>
      </w:r>
      <w:r>
        <w:rPr>
          <w:rFonts w:hint="eastAsia" w:ascii="黑体" w:hAnsi="黑体" w:eastAsia="黑体"/>
          <w:sz w:val="44"/>
          <w:szCs w:val="44"/>
          <w:highlight w:val="none"/>
        </w:rPr>
        <w:t>年预算</w:t>
      </w:r>
    </w:p>
    <w:p w14:paraId="5B870A9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4DDB517">
      <w:pPr>
        <w:rPr>
          <w:rFonts w:ascii="仿宋" w:hAnsi="仿宋" w:eastAsia="仿宋"/>
          <w:sz w:val="32"/>
          <w:szCs w:val="32"/>
          <w:highlight w:val="none"/>
        </w:rPr>
      </w:pPr>
      <w:r>
        <w:rPr>
          <w:rFonts w:hint="eastAsia" w:ascii="仿宋" w:hAnsi="仿宋" w:eastAsia="仿宋"/>
          <w:sz w:val="32"/>
          <w:szCs w:val="32"/>
          <w:highlight w:val="none"/>
        </w:rPr>
        <w:t xml:space="preserve">第一部分  </w:t>
      </w:r>
      <w:r>
        <w:rPr>
          <w:rFonts w:hint="eastAsia" w:ascii="仿宋" w:hAnsi="仿宋" w:eastAsia="仿宋"/>
          <w:sz w:val="32"/>
          <w:szCs w:val="32"/>
          <w:highlight w:val="none"/>
          <w:lang w:val="en-US" w:eastAsia="zh-CN"/>
        </w:rPr>
        <w:t>单位</w:t>
      </w:r>
      <w:r>
        <w:rPr>
          <w:rFonts w:hint="eastAsia" w:ascii="仿宋" w:hAnsi="仿宋" w:eastAsia="仿宋"/>
          <w:sz w:val="32"/>
          <w:szCs w:val="32"/>
          <w:highlight w:val="none"/>
        </w:rPr>
        <w:t>概况</w:t>
      </w:r>
    </w:p>
    <w:p w14:paraId="2E243AE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F0FC025">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2944B6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57ECBC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A11A81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826A49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4BA1FD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2FFA2540">
      <w:pPr>
        <w:rPr>
          <w:rFonts w:ascii="仿宋" w:hAnsi="仿宋" w:eastAsia="仿宋"/>
          <w:sz w:val="32"/>
          <w:szCs w:val="32"/>
          <w:highlight w:val="none"/>
        </w:rPr>
      </w:pPr>
    </w:p>
    <w:p w14:paraId="31696D01">
      <w:pPr>
        <w:rPr>
          <w:rFonts w:ascii="仿宋" w:hAnsi="仿宋" w:eastAsia="仿宋"/>
          <w:sz w:val="32"/>
          <w:szCs w:val="32"/>
          <w:highlight w:val="none"/>
        </w:rPr>
      </w:pPr>
    </w:p>
    <w:p w14:paraId="3A25E963">
      <w:pPr>
        <w:rPr>
          <w:rFonts w:ascii="仿宋" w:hAnsi="仿宋" w:eastAsia="仿宋"/>
          <w:sz w:val="32"/>
          <w:szCs w:val="32"/>
          <w:highlight w:val="none"/>
        </w:rPr>
      </w:pPr>
    </w:p>
    <w:p w14:paraId="3260BACD">
      <w:pPr>
        <w:jc w:val="center"/>
        <w:rPr>
          <w:rFonts w:ascii="黑体" w:hAnsi="黑体" w:eastAsia="黑体"/>
          <w:sz w:val="32"/>
          <w:szCs w:val="32"/>
          <w:highlight w:val="none"/>
        </w:rPr>
      </w:pPr>
      <w:r>
        <w:rPr>
          <w:rFonts w:hint="eastAsia" w:ascii="黑体" w:hAnsi="黑体" w:eastAsia="黑体"/>
          <w:sz w:val="32"/>
          <w:szCs w:val="32"/>
          <w:highlight w:val="none"/>
        </w:rPr>
        <w:t xml:space="preserve">第一部分    </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EA78DE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AA622D6">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1E187697">
      <w:pPr>
        <w:pStyle w:val="10"/>
        <w:widowControl/>
        <w:spacing w:line="620" w:lineRule="exact"/>
        <w:ind w:firstLine="627" w:firstLineChars="196"/>
        <w:contextualSpacing/>
        <w:rPr>
          <w:rFonts w:hint="default" w:ascii="仿宋" w:hAnsi="仿宋" w:eastAsia="仿宋"/>
          <w:bCs/>
          <w:kern w:val="0"/>
          <w:sz w:val="32"/>
          <w:szCs w:val="32"/>
          <w:highlight w:val="none"/>
          <w:lang w:val="en-US"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eastAsia="zh-CN"/>
        </w:rPr>
        <w:t>蛟河市</w:t>
      </w:r>
      <w:r>
        <w:rPr>
          <w:rFonts w:hint="eastAsia" w:ascii="仿宋" w:hAnsi="仿宋" w:eastAsia="仿宋"/>
          <w:bCs/>
          <w:kern w:val="0"/>
          <w:sz w:val="32"/>
          <w:szCs w:val="32"/>
          <w:highlight w:val="none"/>
          <w:lang w:val="en-US" w:eastAsia="zh-CN"/>
        </w:rPr>
        <w:t>经济责任和投资审计中心</w:t>
      </w:r>
    </w:p>
    <w:p w14:paraId="3ACF4DAF">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2011</w:t>
      </w:r>
      <w:r>
        <w:rPr>
          <w:rFonts w:hint="eastAsia" w:ascii="仿宋" w:hAnsi="仿宋" w:eastAsia="仿宋"/>
          <w:bCs/>
          <w:kern w:val="0"/>
          <w:sz w:val="32"/>
          <w:szCs w:val="32"/>
          <w:highlight w:val="none"/>
        </w:rPr>
        <w:t>年</w:t>
      </w:r>
    </w:p>
    <w:p w14:paraId="283EE61E">
      <w:pPr>
        <w:pStyle w:val="10"/>
        <w:widowControl/>
        <w:spacing w:line="620" w:lineRule="exact"/>
        <w:ind w:firstLine="627" w:firstLineChars="196"/>
        <w:contextualSpacing/>
        <w:rPr>
          <w:rFonts w:hint="eastAsia"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：蛟河</w:t>
      </w:r>
      <w:r>
        <w:rPr>
          <w:rFonts w:hint="eastAsia" w:ascii="仿宋" w:hAnsi="仿宋" w:eastAsia="仿宋"/>
          <w:bCs/>
          <w:kern w:val="0"/>
          <w:sz w:val="32"/>
          <w:szCs w:val="32"/>
          <w:highlight w:val="none"/>
          <w:lang w:eastAsia="zh-CN"/>
        </w:rPr>
        <w:t>市</w:t>
      </w:r>
      <w:r>
        <w:rPr>
          <w:rFonts w:hint="eastAsia" w:ascii="仿宋" w:hAnsi="仿宋" w:eastAsia="仿宋"/>
          <w:bCs/>
          <w:kern w:val="0"/>
          <w:sz w:val="32"/>
          <w:szCs w:val="32"/>
          <w:highlight w:val="none"/>
          <w:lang w:val="en-US" w:eastAsia="zh-CN"/>
        </w:rPr>
        <w:t>经济责任和投资审计中心</w:t>
      </w:r>
      <w:r>
        <w:rPr>
          <w:rFonts w:hint="eastAsia" w:ascii="仿宋" w:hAnsi="仿宋" w:eastAsia="仿宋"/>
          <w:kern w:val="0"/>
          <w:sz w:val="32"/>
          <w:szCs w:val="32"/>
        </w:rPr>
        <w:t>是</w:t>
      </w:r>
      <w:r>
        <w:rPr>
          <w:rFonts w:hint="eastAsia" w:ascii="仿宋" w:hAnsi="仿宋" w:eastAsia="仿宋"/>
          <w:kern w:val="0"/>
          <w:sz w:val="32"/>
          <w:szCs w:val="32"/>
          <w:lang w:val="en-US" w:eastAsia="zh-CN"/>
        </w:rPr>
        <w:t>隶属于蛟河市审计局的公益一类事业单位。</w:t>
      </w:r>
      <w:r>
        <w:rPr>
          <w:rFonts w:hint="eastAsia" w:ascii="仿宋" w:hAnsi="仿宋" w:eastAsia="仿宋"/>
          <w:kern w:val="0"/>
          <w:sz w:val="32"/>
          <w:szCs w:val="32"/>
        </w:rPr>
        <w:t>贯彻执行国家有关审计法律、法规和方针政策</w:t>
      </w:r>
      <w:r>
        <w:rPr>
          <w:rFonts w:hint="eastAsia" w:ascii="仿宋" w:hAnsi="仿宋" w:eastAsia="仿宋"/>
          <w:kern w:val="0"/>
          <w:sz w:val="32"/>
          <w:szCs w:val="32"/>
          <w:lang w:eastAsia="zh-CN"/>
        </w:rPr>
        <w:t>，</w:t>
      </w:r>
      <w:r>
        <w:rPr>
          <w:rFonts w:hint="eastAsia" w:ascii="仿宋" w:hAnsi="仿宋" w:eastAsia="仿宋"/>
          <w:kern w:val="0"/>
          <w:sz w:val="32"/>
          <w:szCs w:val="32"/>
          <w:lang w:val="en-US" w:eastAsia="zh-CN"/>
        </w:rPr>
        <w:t>协助</w:t>
      </w:r>
      <w:r>
        <w:rPr>
          <w:rFonts w:hint="eastAsia" w:ascii="仿宋" w:hAnsi="仿宋" w:eastAsia="仿宋"/>
          <w:kern w:val="0"/>
          <w:sz w:val="32"/>
          <w:szCs w:val="32"/>
        </w:rPr>
        <w:t>市审计局维护全市财经秩序，加强宏观调控，促进廉政建设等方面</w:t>
      </w:r>
      <w:r>
        <w:rPr>
          <w:rFonts w:hint="eastAsia" w:ascii="仿宋" w:hAnsi="仿宋" w:eastAsia="仿宋"/>
          <w:kern w:val="0"/>
          <w:sz w:val="32"/>
          <w:szCs w:val="32"/>
          <w:lang w:val="en-US" w:eastAsia="zh-CN"/>
        </w:rPr>
        <w:t>工作。</w:t>
      </w:r>
    </w:p>
    <w:p w14:paraId="560A6EDE">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p>
    <w:p w14:paraId="24842889">
      <w:pPr>
        <w:pStyle w:val="10"/>
        <w:widowControl/>
        <w:spacing w:line="620" w:lineRule="exact"/>
        <w:ind w:firstLine="627" w:firstLineChars="196"/>
        <w:contextualSpacing/>
        <w:rPr>
          <w:rFonts w:ascii="仿宋" w:hAnsi="仿宋" w:eastAsia="仿宋"/>
          <w:sz w:val="32"/>
          <w:szCs w:val="32"/>
        </w:rPr>
      </w:pPr>
      <w:r>
        <w:rPr>
          <w:rFonts w:hint="eastAsia" w:ascii="仿宋" w:hAnsi="仿宋" w:eastAsia="仿宋"/>
          <w:sz w:val="32"/>
        </w:rPr>
        <w:t>（一）</w:t>
      </w:r>
      <w:r>
        <w:rPr>
          <w:rFonts w:hint="eastAsia" w:ascii="仿宋" w:hAnsi="仿宋" w:eastAsia="仿宋"/>
          <w:sz w:val="32"/>
          <w:szCs w:val="32"/>
        </w:rPr>
        <w:t>经济责任审计</w:t>
      </w:r>
    </w:p>
    <w:p w14:paraId="7856E454">
      <w:pPr>
        <w:spacing w:line="576" w:lineRule="exact"/>
        <w:ind w:firstLine="640" w:firstLineChars="200"/>
        <w:rPr>
          <w:rFonts w:ascii="仿宋" w:hAnsi="仿宋" w:eastAsia="仿宋"/>
          <w:sz w:val="32"/>
        </w:rPr>
      </w:pPr>
      <w:r>
        <w:rPr>
          <w:rFonts w:ascii="仿宋" w:hAnsi="仿宋" w:eastAsia="仿宋"/>
          <w:sz w:val="32"/>
        </w:rPr>
        <w:t>1.</w:t>
      </w:r>
      <w:r>
        <w:rPr>
          <w:rFonts w:hint="eastAsia" w:ascii="仿宋" w:hAnsi="仿宋" w:eastAsia="仿宋"/>
          <w:sz w:val="32"/>
        </w:rPr>
        <w:t>党、政、群机关、事业单位领导干部任期（任前、离任）经济责任审计。</w:t>
      </w:r>
    </w:p>
    <w:p w14:paraId="48AB0B84">
      <w:pPr>
        <w:spacing w:line="576" w:lineRule="exact"/>
        <w:ind w:firstLine="640" w:firstLineChars="200"/>
        <w:rPr>
          <w:rFonts w:ascii="仿宋" w:hAnsi="仿宋" w:eastAsia="仿宋"/>
          <w:sz w:val="32"/>
        </w:rPr>
      </w:pPr>
      <w:r>
        <w:rPr>
          <w:rFonts w:ascii="仿宋" w:hAnsi="仿宋" w:eastAsia="仿宋"/>
          <w:sz w:val="32"/>
        </w:rPr>
        <w:t>2.</w:t>
      </w:r>
      <w:r>
        <w:rPr>
          <w:rFonts w:hint="eastAsia" w:ascii="仿宋" w:hAnsi="仿宋" w:eastAsia="仿宋"/>
          <w:sz w:val="32"/>
        </w:rPr>
        <w:t>国有及国有控股企业领导干部任期（离任）经济责任审计。</w:t>
      </w:r>
      <w:r>
        <w:rPr>
          <w:rFonts w:ascii="仿宋" w:hAnsi="仿宋" w:eastAsia="仿宋"/>
          <w:sz w:val="32"/>
        </w:rPr>
        <w:t xml:space="preserve">    </w:t>
      </w:r>
    </w:p>
    <w:p w14:paraId="3652052A">
      <w:pPr>
        <w:spacing w:line="576" w:lineRule="exact"/>
        <w:ind w:firstLine="640" w:firstLineChars="200"/>
        <w:rPr>
          <w:rFonts w:ascii="仿宋" w:hAnsi="仿宋" w:eastAsia="仿宋"/>
          <w:sz w:val="32"/>
        </w:rPr>
      </w:pPr>
      <w:r>
        <w:rPr>
          <w:rFonts w:ascii="仿宋" w:hAnsi="仿宋" w:eastAsia="仿宋"/>
          <w:sz w:val="32"/>
        </w:rPr>
        <w:t>3.</w:t>
      </w:r>
      <w:r>
        <w:rPr>
          <w:rFonts w:hint="eastAsia" w:ascii="仿宋" w:hAnsi="仿宋" w:eastAsia="仿宋"/>
          <w:sz w:val="32"/>
        </w:rPr>
        <w:t>信访所涉及的党、政、群机关、企业、事业单位领导干部经济责任审计。</w:t>
      </w:r>
    </w:p>
    <w:p w14:paraId="513D41B4">
      <w:pPr>
        <w:spacing w:line="576" w:lineRule="exact"/>
        <w:ind w:firstLine="640" w:firstLineChars="200"/>
        <w:rPr>
          <w:rFonts w:ascii="仿宋" w:hAnsi="仿宋" w:eastAsia="仿宋"/>
          <w:sz w:val="32"/>
        </w:rPr>
      </w:pPr>
      <w:r>
        <w:rPr>
          <w:rFonts w:ascii="仿宋" w:hAnsi="仿宋" w:eastAsia="仿宋"/>
          <w:sz w:val="32"/>
        </w:rPr>
        <w:t>4.</w:t>
      </w:r>
      <w:r>
        <w:rPr>
          <w:rFonts w:hint="eastAsia" w:ascii="仿宋" w:hAnsi="仿宋" w:eastAsia="仿宋"/>
          <w:sz w:val="32"/>
        </w:rPr>
        <w:t>配合纪检、监察机关办理涉及领导干部经济案件审计。</w:t>
      </w:r>
    </w:p>
    <w:p w14:paraId="3A91F1B3">
      <w:pPr>
        <w:spacing w:line="576" w:lineRule="exact"/>
        <w:ind w:firstLine="640" w:firstLineChars="200"/>
        <w:rPr>
          <w:rFonts w:ascii="仿宋" w:hAnsi="仿宋" w:eastAsia="仿宋"/>
          <w:sz w:val="32"/>
        </w:rPr>
      </w:pPr>
      <w:r>
        <w:rPr>
          <w:rFonts w:ascii="仿宋" w:hAnsi="仿宋" w:eastAsia="仿宋"/>
          <w:sz w:val="32"/>
        </w:rPr>
        <w:t>5.</w:t>
      </w:r>
      <w:r>
        <w:rPr>
          <w:rFonts w:hint="eastAsia" w:ascii="仿宋" w:hAnsi="仿宋" w:eastAsia="仿宋"/>
          <w:sz w:val="32"/>
        </w:rPr>
        <w:t>经济责任专项审计和审计调查。</w:t>
      </w:r>
    </w:p>
    <w:p w14:paraId="319B5D4A">
      <w:pPr>
        <w:spacing w:line="576" w:lineRule="exact"/>
        <w:ind w:firstLine="640" w:firstLineChars="200"/>
        <w:rPr>
          <w:rFonts w:ascii="仿宋" w:hAnsi="仿宋" w:eastAsia="仿宋"/>
          <w:sz w:val="32"/>
          <w:szCs w:val="32"/>
        </w:rPr>
      </w:pPr>
      <w:r>
        <w:rPr>
          <w:rFonts w:ascii="仿宋" w:hAnsi="仿宋" w:eastAsia="仿宋"/>
          <w:sz w:val="32"/>
          <w:szCs w:val="32"/>
        </w:rPr>
        <w:t>6.</w:t>
      </w:r>
      <w:r>
        <w:rPr>
          <w:rFonts w:hint="eastAsia" w:ascii="仿宋" w:hAnsi="仿宋" w:eastAsia="仿宋"/>
          <w:sz w:val="32"/>
          <w:szCs w:val="32"/>
        </w:rPr>
        <w:t>承担经济责任审计工作联席会议的日常工作；研究起草有关经济责任审计工作的制度和文件，提出年度经济责任审计计划草案，总结推广经济责任审计工作经验，督促落实联席会议决定的有关事项。</w:t>
      </w:r>
    </w:p>
    <w:p w14:paraId="2AE9DD1D">
      <w:pPr>
        <w:spacing w:line="576" w:lineRule="exact"/>
        <w:ind w:firstLine="627" w:firstLineChars="196"/>
        <w:rPr>
          <w:rFonts w:ascii="仿宋" w:hAnsi="仿宋" w:eastAsia="仿宋"/>
          <w:bCs/>
          <w:sz w:val="32"/>
        </w:rPr>
      </w:pPr>
      <w:r>
        <w:rPr>
          <w:rFonts w:hint="eastAsia" w:ascii="仿宋" w:hAnsi="仿宋" w:eastAsia="仿宋"/>
          <w:sz w:val="32"/>
        </w:rPr>
        <w:t>（二）</w:t>
      </w:r>
      <w:r>
        <w:rPr>
          <w:rFonts w:hint="eastAsia" w:ascii="仿宋" w:hAnsi="仿宋" w:eastAsia="仿宋"/>
          <w:bCs/>
          <w:sz w:val="32"/>
        </w:rPr>
        <w:t>投资审计</w:t>
      </w:r>
    </w:p>
    <w:p w14:paraId="4E417C76">
      <w:pPr>
        <w:spacing w:line="576" w:lineRule="exact"/>
        <w:ind w:firstLine="640" w:firstLineChars="200"/>
        <w:rPr>
          <w:rFonts w:ascii="仿宋" w:hAnsi="仿宋" w:eastAsia="仿宋"/>
          <w:sz w:val="32"/>
        </w:rPr>
      </w:pPr>
      <w:r>
        <w:rPr>
          <w:rFonts w:ascii="仿宋" w:hAnsi="仿宋" w:eastAsia="仿宋"/>
          <w:bCs/>
          <w:sz w:val="32"/>
        </w:rPr>
        <w:t>1.</w:t>
      </w:r>
      <w:r>
        <w:rPr>
          <w:rFonts w:hint="eastAsia" w:ascii="仿宋" w:hAnsi="仿宋" w:eastAsia="仿宋"/>
          <w:sz w:val="32"/>
        </w:rPr>
        <w:t>政府投资的重点工程建设项目工程预算、决算审计。</w:t>
      </w:r>
    </w:p>
    <w:p w14:paraId="41494E10">
      <w:pPr>
        <w:spacing w:line="576" w:lineRule="exact"/>
        <w:ind w:firstLine="640" w:firstLineChars="200"/>
        <w:rPr>
          <w:rFonts w:ascii="仿宋" w:hAnsi="仿宋" w:eastAsia="仿宋"/>
          <w:bCs/>
          <w:sz w:val="32"/>
        </w:rPr>
      </w:pPr>
      <w:r>
        <w:rPr>
          <w:rFonts w:ascii="仿宋" w:hAnsi="仿宋" w:eastAsia="仿宋"/>
          <w:sz w:val="32"/>
        </w:rPr>
        <w:t>2.</w:t>
      </w:r>
      <w:r>
        <w:rPr>
          <w:rFonts w:hint="eastAsia" w:ascii="仿宋" w:hAnsi="仿宋" w:eastAsia="仿宋"/>
          <w:sz w:val="32"/>
        </w:rPr>
        <w:t>政府各</w:t>
      </w:r>
      <w:r>
        <w:rPr>
          <w:rFonts w:hint="eastAsia" w:ascii="仿宋" w:hAnsi="仿宋" w:eastAsia="仿宋"/>
          <w:sz w:val="32"/>
          <w:lang w:eastAsia="zh-CN"/>
        </w:rPr>
        <w:t>单位</w:t>
      </w:r>
      <w:r>
        <w:rPr>
          <w:rFonts w:hint="eastAsia" w:ascii="仿宋" w:hAnsi="仿宋" w:eastAsia="仿宋"/>
          <w:sz w:val="32"/>
        </w:rPr>
        <w:t>工程建设项目及施工企业审计。</w:t>
      </w:r>
    </w:p>
    <w:p w14:paraId="164C4424">
      <w:pPr>
        <w:spacing w:line="576" w:lineRule="exact"/>
        <w:ind w:right="-153" w:rightChars="-73" w:firstLine="640" w:firstLineChars="200"/>
        <w:rPr>
          <w:rFonts w:ascii="仿宋" w:hAnsi="仿宋" w:eastAsia="仿宋"/>
          <w:color w:val="000000"/>
          <w:sz w:val="32"/>
          <w:szCs w:val="32"/>
        </w:rPr>
      </w:pPr>
      <w:r>
        <w:rPr>
          <w:rFonts w:ascii="仿宋" w:hAnsi="仿宋" w:eastAsia="仿宋"/>
          <w:color w:val="000000"/>
          <w:sz w:val="32"/>
          <w:szCs w:val="32"/>
        </w:rPr>
        <w:t>3.</w:t>
      </w:r>
      <w:r>
        <w:rPr>
          <w:rFonts w:hint="eastAsia" w:ascii="仿宋" w:hAnsi="仿宋" w:eastAsia="仿宋"/>
          <w:color w:val="000000"/>
          <w:sz w:val="32"/>
          <w:szCs w:val="32"/>
        </w:rPr>
        <w:t>重点工程项目跟踪审计。</w:t>
      </w:r>
    </w:p>
    <w:p w14:paraId="42ACE09B">
      <w:pPr>
        <w:spacing w:line="576" w:lineRule="exact"/>
        <w:ind w:right="-153" w:rightChars="-73" w:firstLine="640" w:firstLineChars="200"/>
        <w:rPr>
          <w:rFonts w:hint="eastAsia" w:ascii="仿宋" w:hAnsi="仿宋" w:eastAsia="仿宋"/>
          <w:color w:val="000000"/>
          <w:sz w:val="32"/>
          <w:szCs w:val="32"/>
          <w:lang w:eastAsia="zh-CN"/>
        </w:rPr>
      </w:pPr>
      <w:r>
        <w:rPr>
          <w:rFonts w:ascii="仿宋" w:hAnsi="仿宋" w:eastAsia="仿宋"/>
          <w:color w:val="000000"/>
          <w:sz w:val="32"/>
          <w:szCs w:val="32"/>
        </w:rPr>
        <w:t>4.</w:t>
      </w:r>
      <w:r>
        <w:rPr>
          <w:rFonts w:hint="eastAsia" w:ascii="仿宋" w:hAnsi="仿宋" w:eastAsia="仿宋"/>
          <w:color w:val="000000"/>
          <w:sz w:val="32"/>
          <w:szCs w:val="32"/>
        </w:rPr>
        <w:t>上级审计机关授权的重点建设项目审计事项。</w:t>
      </w:r>
    </w:p>
    <w:p w14:paraId="5DF2610A">
      <w:pPr>
        <w:spacing w:line="576" w:lineRule="exact"/>
        <w:ind w:right="-153" w:rightChars="-73" w:firstLine="640" w:firstLineChars="200"/>
        <w:rPr>
          <w:rFonts w:ascii="仿宋" w:hAnsi="仿宋" w:eastAsia="仿宋"/>
          <w:sz w:val="32"/>
          <w:szCs w:val="32"/>
        </w:rPr>
      </w:pPr>
      <w:r>
        <w:rPr>
          <w:rFonts w:ascii="仿宋" w:hAnsi="仿宋" w:eastAsia="仿宋"/>
          <w:color w:val="000000"/>
          <w:sz w:val="32"/>
          <w:szCs w:val="32"/>
        </w:rPr>
        <w:t xml:space="preserve">    5.</w:t>
      </w:r>
      <w:r>
        <w:rPr>
          <w:rFonts w:hint="eastAsia" w:ascii="仿宋" w:hAnsi="仿宋" w:eastAsia="仿宋"/>
          <w:color w:val="000000"/>
          <w:sz w:val="32"/>
          <w:szCs w:val="32"/>
        </w:rPr>
        <w:t>固定资产投资专项审计和审计调查。</w:t>
      </w:r>
      <w:r>
        <w:rPr>
          <w:rFonts w:ascii="仿宋" w:hAnsi="仿宋" w:eastAsia="仿宋"/>
          <w:sz w:val="32"/>
          <w:szCs w:val="32"/>
        </w:rPr>
        <w:t xml:space="preserve"> </w:t>
      </w:r>
    </w:p>
    <w:p w14:paraId="7C37C897">
      <w:pPr>
        <w:ind w:firstLine="320" w:firstLineChars="100"/>
        <w:jc w:val="left"/>
        <w:rPr>
          <w:rFonts w:ascii="仿宋" w:hAnsi="仿宋" w:eastAsia="仿宋"/>
          <w:sz w:val="32"/>
          <w:szCs w:val="32"/>
        </w:rPr>
      </w:pPr>
      <w:r>
        <w:rPr>
          <w:rFonts w:hint="eastAsia" w:ascii="仿宋" w:hAnsi="仿宋" w:eastAsia="仿宋"/>
          <w:sz w:val="32"/>
          <w:szCs w:val="32"/>
        </w:rPr>
        <w:t xml:space="preserve">  二、机构设置</w:t>
      </w:r>
    </w:p>
    <w:p w14:paraId="5F277B0F">
      <w:pPr>
        <w:pStyle w:val="12"/>
        <w:ind w:firstLine="640" w:firstLineChars="200"/>
        <w:rPr>
          <w:rFonts w:hint="default" w:ascii="仿宋" w:hAnsi="仿宋" w:eastAsia="仿宋"/>
          <w:kern w:val="0"/>
          <w:szCs w:val="32"/>
          <w:lang w:val="en-US" w:eastAsia="zh-CN"/>
        </w:rPr>
      </w:pPr>
      <w:r>
        <w:rPr>
          <w:rFonts w:hint="eastAsia" w:ascii="仿宋" w:hAnsi="仿宋" w:eastAsia="仿宋"/>
          <w:kern w:val="0"/>
          <w:szCs w:val="32"/>
        </w:rPr>
        <w:t>机构设置：蛟河市经济责任和投资审计中心</w:t>
      </w:r>
      <w:r>
        <w:rPr>
          <w:rFonts w:hint="eastAsia" w:ascii="仿宋" w:hAnsi="仿宋" w:eastAsia="仿宋"/>
          <w:kern w:val="0"/>
          <w:szCs w:val="32"/>
          <w:lang w:val="en-US" w:eastAsia="zh-CN"/>
        </w:rPr>
        <w:t>无下设科室。</w:t>
      </w:r>
    </w:p>
    <w:p w14:paraId="6B9D271F">
      <w:pPr>
        <w:ind w:firstLine="640" w:firstLineChars="200"/>
        <w:jc w:val="left"/>
        <w:rPr>
          <w:rFonts w:ascii="仿宋" w:hAnsi="仿宋" w:eastAsia="仿宋"/>
          <w:sz w:val="32"/>
          <w:szCs w:val="32"/>
        </w:rPr>
      </w:pPr>
      <w:r>
        <w:rPr>
          <w:rFonts w:hint="eastAsia" w:ascii="仿宋" w:hAnsi="仿宋" w:eastAsia="仿宋"/>
          <w:kern w:val="0"/>
          <w:sz w:val="32"/>
          <w:szCs w:val="32"/>
        </w:rPr>
        <w:t>人员情况：事业编制</w:t>
      </w:r>
      <w:r>
        <w:rPr>
          <w:rFonts w:ascii="仿宋" w:hAnsi="仿宋" w:eastAsia="仿宋"/>
          <w:kern w:val="0"/>
          <w:sz w:val="32"/>
          <w:szCs w:val="32"/>
        </w:rPr>
        <w:t>12</w:t>
      </w:r>
      <w:r>
        <w:rPr>
          <w:rFonts w:hint="eastAsia" w:ascii="仿宋" w:hAnsi="仿宋" w:eastAsia="仿宋"/>
          <w:kern w:val="0"/>
          <w:sz w:val="32"/>
          <w:szCs w:val="32"/>
        </w:rPr>
        <w:t>个，</w:t>
      </w:r>
      <w:r>
        <w:rPr>
          <w:rFonts w:hint="eastAsia" w:ascii="仿宋" w:hAnsi="仿宋" w:eastAsia="仿宋"/>
          <w:kern w:val="0"/>
          <w:sz w:val="32"/>
          <w:szCs w:val="32"/>
          <w:lang w:val="en-US" w:eastAsia="zh-CN"/>
        </w:rPr>
        <w:t>领导职数2个（正股级1个，副股级1个），</w:t>
      </w:r>
      <w:r>
        <w:rPr>
          <w:rFonts w:hint="eastAsia" w:ascii="仿宋" w:hAnsi="仿宋" w:eastAsia="仿宋"/>
          <w:kern w:val="0"/>
          <w:sz w:val="32"/>
          <w:szCs w:val="32"/>
        </w:rPr>
        <w:t>实有事业人员</w:t>
      </w:r>
      <w:r>
        <w:rPr>
          <w:rFonts w:hint="eastAsia" w:ascii="仿宋" w:hAnsi="仿宋" w:eastAsia="仿宋"/>
          <w:kern w:val="0"/>
          <w:sz w:val="32"/>
          <w:szCs w:val="32"/>
          <w:lang w:val="en-US" w:eastAsia="zh-CN"/>
        </w:rPr>
        <w:t>12</w:t>
      </w:r>
      <w:r>
        <w:rPr>
          <w:rFonts w:hint="eastAsia" w:ascii="仿宋" w:hAnsi="仿宋" w:eastAsia="仿宋"/>
          <w:kern w:val="0"/>
          <w:sz w:val="32"/>
          <w:szCs w:val="32"/>
        </w:rPr>
        <w:t>人</w:t>
      </w:r>
      <w:r>
        <w:rPr>
          <w:rFonts w:hint="eastAsia" w:ascii="仿宋" w:hAnsi="仿宋" w:eastAsia="仿宋"/>
          <w:kern w:val="0"/>
          <w:sz w:val="32"/>
          <w:szCs w:val="32"/>
          <w:lang w:eastAsia="zh-CN"/>
        </w:rPr>
        <w:t>。</w:t>
      </w:r>
    </w:p>
    <w:p w14:paraId="677DE9DA">
      <w:pPr>
        <w:jc w:val="center"/>
        <w:rPr>
          <w:rFonts w:hint="eastAsia" w:ascii="黑体" w:hAnsi="黑体" w:eastAsia="黑体"/>
          <w:sz w:val="32"/>
          <w:szCs w:val="32"/>
          <w:highlight w:val="none"/>
        </w:rPr>
      </w:pPr>
    </w:p>
    <w:p w14:paraId="4F5EC9C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5F752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41F9C657">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按照综合预算</w:t>
      </w:r>
      <w:r>
        <w:rPr>
          <w:rFonts w:hint="eastAsia" w:ascii="仿宋" w:hAnsi="仿宋" w:eastAsia="仿宋"/>
          <w:sz w:val="32"/>
          <w:szCs w:val="32"/>
          <w:highlight w:val="none"/>
        </w:rPr>
        <w:t>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111.59</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108.68</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增加2.91</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事业12人员调资，经费增加</w:t>
      </w:r>
      <w:r>
        <w:rPr>
          <w:rFonts w:hint="eastAsia" w:ascii="仿宋" w:hAnsi="仿宋" w:eastAsia="仿宋"/>
          <w:sz w:val="32"/>
          <w:szCs w:val="32"/>
          <w:highlight w:val="none"/>
          <w:lang w:eastAsia="zh-CN"/>
        </w:rPr>
        <w:t>。</w:t>
      </w:r>
    </w:p>
    <w:p w14:paraId="573A025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4F48FC2A">
      <w:pPr>
        <w:pStyle w:val="11"/>
        <w:ind w:firstLine="640" w:firstLineChars="2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111.59</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111.59万元，占100%；上年结转0万元，占0%。本年收入中，一般公共预算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111.59万</w:t>
      </w:r>
      <w:r>
        <w:rPr>
          <w:rFonts w:hint="eastAsia" w:ascii="仿宋" w:hAnsi="仿宋" w:eastAsia="仿宋"/>
          <w:sz w:val="32"/>
          <w:szCs w:val="32"/>
          <w:highlight w:val="none"/>
        </w:rPr>
        <w:t>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14:paraId="18B7FAB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60A6506B">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111.59</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111.59</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EB55866">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C759182">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111.59</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111.59万元，上年结转0万元。支出包括：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83.34</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12.82</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6.03</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9.4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0万元</w:t>
      </w:r>
      <w:r>
        <w:rPr>
          <w:rFonts w:hint="eastAsia" w:ascii="仿宋" w:hAnsi="仿宋" w:eastAsia="仿宋"/>
          <w:sz w:val="32"/>
          <w:szCs w:val="32"/>
          <w:highlight w:val="none"/>
        </w:rPr>
        <w:t>。</w:t>
      </w:r>
    </w:p>
    <w:p w14:paraId="69738522">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2C9C69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111.59</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111.59</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106.62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95.55</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4.97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4.45</w:t>
      </w:r>
      <w:r>
        <w:rPr>
          <w:rFonts w:hint="eastAsia" w:ascii="仿宋" w:hAnsi="仿宋" w:eastAsia="仿宋"/>
          <w:sz w:val="32"/>
          <w:szCs w:val="32"/>
          <w:highlight w:val="none"/>
        </w:rPr>
        <w:t>%。</w:t>
      </w:r>
    </w:p>
    <w:p w14:paraId="17CEC78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83.34万元，占74.68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给员工发工资、日常公用经费等支出。</w:t>
      </w:r>
    </w:p>
    <w:p w14:paraId="3B2B344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社会保障和就业（类）支出12.82万元，占11.49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，主要用于：给员工</w:t>
      </w:r>
      <w:r>
        <w:rPr>
          <w:rFonts w:hint="eastAsia" w:ascii="仿宋" w:hAnsi="仿宋" w:eastAsia="仿宋"/>
          <w:sz w:val="32"/>
          <w:szCs w:val="32"/>
          <w:highlight w:val="none"/>
          <w:lang w:val="en-US" w:eastAsia="zh-CN"/>
        </w:rPr>
        <w:t>缴纳社会保障类费用。</w:t>
      </w:r>
    </w:p>
    <w:p w14:paraId="0EDB06C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卫生健康（类）支出6.03万元，占5.41</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给员工缴纳医疗险。</w:t>
      </w:r>
    </w:p>
    <w:p w14:paraId="76A9CC9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住房保障（类）支出9.4万元，占8.42</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缴纳住房公积金。</w:t>
      </w:r>
    </w:p>
    <w:p w14:paraId="39E2D86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EA646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2025年一般公共预算基本支出111.59万元，其中：</w:t>
      </w:r>
    </w:p>
    <w:p w14:paraId="0A48DC2A">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102.62</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val="en-US" w:eastAsia="zh-CN"/>
        </w:rPr>
        <w:t>绩效工资、</w:t>
      </w:r>
      <w:r>
        <w:rPr>
          <w:rFonts w:hint="eastAsia" w:ascii="仿宋" w:hAnsi="仿宋" w:eastAsia="仿宋"/>
          <w:sz w:val="32"/>
          <w:szCs w:val="32"/>
          <w:highlight w:val="none"/>
          <w:lang w:eastAsia="zh-CN"/>
        </w:rPr>
        <w:t>机关事业单位基本养老保险缴费、职工基本医疗保险缴费、其他社会保障缴费、住房公积金、</w:t>
      </w:r>
      <w:r>
        <w:rPr>
          <w:rFonts w:hint="eastAsia" w:ascii="仿宋" w:hAnsi="仿宋" w:eastAsia="仿宋"/>
          <w:sz w:val="32"/>
          <w:szCs w:val="32"/>
          <w:highlight w:val="none"/>
        </w:rPr>
        <w:t>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47BF66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4.97</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电费、</w:t>
      </w:r>
      <w:r>
        <w:rPr>
          <w:rFonts w:hint="eastAsia" w:ascii="仿宋" w:hAnsi="仿宋" w:eastAsia="仿宋"/>
          <w:sz w:val="32"/>
          <w:szCs w:val="32"/>
          <w:highlight w:val="none"/>
        </w:rPr>
        <w:t>邮电费、差旅费、工会经费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24F343FA">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5D5BCF">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一致</w:t>
      </w:r>
      <w:r>
        <w:rPr>
          <w:rFonts w:hint="eastAsia" w:ascii="仿宋" w:hAnsi="仿宋" w:eastAsia="仿宋"/>
          <w:kern w:val="0"/>
          <w:sz w:val="32"/>
          <w:szCs w:val="32"/>
          <w:highlight w:val="none"/>
        </w:rPr>
        <w:t>。其中：</w:t>
      </w:r>
    </w:p>
    <w:p w14:paraId="51930B5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55C1F853">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 xml:space="preserve"> 年预算数</w:t>
      </w:r>
      <w:r>
        <w:rPr>
          <w:rFonts w:hint="eastAsia" w:ascii="仿宋" w:hAnsi="仿宋" w:eastAsia="仿宋"/>
          <w:kern w:val="0"/>
          <w:sz w:val="32"/>
          <w:szCs w:val="32"/>
          <w:highlight w:val="none"/>
          <w:lang w:val="en-US" w:eastAsia="zh-CN"/>
        </w:rPr>
        <w:t>一致</w:t>
      </w:r>
      <w:r>
        <w:rPr>
          <w:rFonts w:hint="eastAsia" w:ascii="仿宋" w:hAnsi="仿宋" w:eastAsia="仿宋"/>
          <w:kern w:val="0"/>
          <w:sz w:val="32"/>
          <w:szCs w:val="32"/>
          <w:highlight w:val="none"/>
          <w:lang w:eastAsia="zh-CN"/>
        </w:rPr>
        <w:t>。</w:t>
      </w:r>
    </w:p>
    <w:p w14:paraId="78C2E709">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 xml:space="preserve"> 年预算数</w:t>
      </w:r>
      <w:r>
        <w:rPr>
          <w:rFonts w:hint="eastAsia" w:ascii="仿宋" w:hAnsi="仿宋" w:eastAsia="仿宋"/>
          <w:kern w:val="0"/>
          <w:sz w:val="32"/>
          <w:szCs w:val="32"/>
          <w:highlight w:val="none"/>
          <w:lang w:val="en-US" w:eastAsia="zh-CN"/>
        </w:rPr>
        <w:t>一致</w:t>
      </w:r>
      <w:r>
        <w:rPr>
          <w:rFonts w:hint="eastAsia" w:ascii="仿宋" w:hAnsi="仿宋" w:eastAsia="仿宋"/>
          <w:kern w:val="0"/>
          <w:sz w:val="32"/>
          <w:szCs w:val="32"/>
          <w:highlight w:val="none"/>
        </w:rPr>
        <w:t>。其中，公务用车运行维护费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万元，公务用车购置</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p>
    <w:p w14:paraId="19793D94">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E8B82">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636BCCD">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0297343">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5AC5894E">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蛟河市经济责任和投资审计中心1</w:t>
      </w:r>
      <w:r>
        <w:rPr>
          <w:rFonts w:hint="eastAsia" w:ascii="仿宋" w:hAnsi="仿宋" w:eastAsia="仿宋"/>
          <w:sz w:val="32"/>
          <w:szCs w:val="32"/>
          <w:highlight w:val="none"/>
        </w:rPr>
        <w:t>家</w:t>
      </w:r>
      <w:r>
        <w:rPr>
          <w:rFonts w:hint="eastAsia" w:ascii="仿宋" w:hAnsi="仿宋" w:eastAsia="仿宋"/>
          <w:sz w:val="32"/>
          <w:szCs w:val="32"/>
          <w:highlight w:val="none"/>
          <w:lang w:val="en-US" w:eastAsia="zh-CN"/>
        </w:rPr>
        <w:t>事业</w:t>
      </w:r>
      <w:r>
        <w:rPr>
          <w:rFonts w:hint="eastAsia" w:ascii="仿宋" w:hAnsi="仿宋" w:eastAsia="仿宋"/>
          <w:sz w:val="32"/>
          <w:szCs w:val="32"/>
          <w:highlight w:val="none"/>
        </w:rPr>
        <w:t>单位的机关运行经费财政拨款预算</w:t>
      </w:r>
      <w:r>
        <w:rPr>
          <w:rFonts w:hint="eastAsia" w:ascii="仿宋" w:hAnsi="仿宋" w:eastAsia="仿宋"/>
          <w:sz w:val="32"/>
          <w:szCs w:val="32"/>
          <w:highlight w:val="none"/>
          <w:lang w:val="en-US" w:eastAsia="zh-CN"/>
        </w:rPr>
        <w:t>4.97</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w:t>
      </w:r>
      <w:r>
        <w:rPr>
          <w:rFonts w:hint="eastAsia" w:ascii="仿宋" w:hAnsi="仿宋" w:eastAsia="仿宋"/>
          <w:sz w:val="32"/>
          <w:szCs w:val="32"/>
          <w:highlight w:val="none"/>
          <w:lang w:val="en-US" w:eastAsia="zh-CN"/>
        </w:rPr>
        <w:t>增加0.03</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增加0.61</w:t>
      </w:r>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工会经费增加</w:t>
      </w:r>
      <w:r>
        <w:rPr>
          <w:rFonts w:hint="eastAsia" w:ascii="仿宋" w:hAnsi="仿宋" w:eastAsia="仿宋"/>
          <w:sz w:val="32"/>
          <w:szCs w:val="32"/>
          <w:highlight w:val="none"/>
          <w:lang w:eastAsia="zh-CN"/>
        </w:rPr>
        <w:t>。</w:t>
      </w:r>
    </w:p>
    <w:p w14:paraId="508469CD">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79A7F3B4">
      <w:pPr>
        <w:pStyle w:val="8"/>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一致</w:t>
      </w:r>
      <w:r>
        <w:rPr>
          <w:rFonts w:hint="eastAsia" w:ascii="仿宋" w:hAnsi="仿宋" w:eastAsia="仿宋"/>
          <w:kern w:val="0"/>
          <w:sz w:val="32"/>
          <w:szCs w:val="32"/>
          <w:highlight w:val="none"/>
        </w:rPr>
        <w:t>。</w:t>
      </w:r>
    </w:p>
    <w:p w14:paraId="731FCE4E">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448ECA0F">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34275A39">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3F695B6">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台（套）。</w:t>
      </w:r>
    </w:p>
    <w:p w14:paraId="04C90835">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77621D1F">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5078CBB1">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w:t>
      </w:r>
      <w:r>
        <w:rPr>
          <w:rFonts w:hint="eastAsia" w:ascii="仿宋" w:hAnsi="仿宋" w:eastAsia="仿宋"/>
          <w:sz w:val="32"/>
          <w:szCs w:val="32"/>
          <w:highlight w:val="none"/>
          <w:lang w:val="en-US" w:eastAsia="zh-CN"/>
        </w:rPr>
        <w:t>单位</w:t>
      </w:r>
      <w:r>
        <w:rPr>
          <w:rFonts w:hint="eastAsia" w:ascii="仿宋" w:hAnsi="仿宋" w:eastAsia="仿宋"/>
          <w:sz w:val="32"/>
          <w:szCs w:val="32"/>
          <w:highlight w:val="none"/>
        </w:rPr>
        <w:t>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06C343FB">
      <w:pPr>
        <w:jc w:val="center"/>
        <w:rPr>
          <w:rFonts w:ascii="仿宋" w:hAnsi="仿宋" w:eastAsia="仿宋"/>
          <w:sz w:val="32"/>
          <w:szCs w:val="32"/>
          <w:highlight w:val="none"/>
        </w:rPr>
      </w:pPr>
    </w:p>
    <w:p w14:paraId="3EA810D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2511D">
      <w:pPr>
        <w:ind w:firstLine="640" w:firstLineChars="200"/>
        <w:rPr>
          <w:rFonts w:ascii="仿宋_GB2312" w:eastAsia="仿宋_GB2312"/>
          <w:sz w:val="32"/>
          <w:szCs w:val="32"/>
          <w:highlight w:val="none"/>
        </w:rPr>
      </w:pPr>
    </w:p>
    <w:p w14:paraId="2DC7A51E">
      <w:pPr>
        <w:jc w:val="left"/>
        <w:rPr>
          <w:rFonts w:hint="eastAsia" w:ascii="仿宋" w:hAnsi="仿宋" w:eastAsia="仿宋"/>
          <w:sz w:val="32"/>
          <w:szCs w:val="32"/>
          <w:highlight w:val="none"/>
        </w:rPr>
      </w:pPr>
      <w:r>
        <w:rPr>
          <w:rFonts w:hint="eastAsia" w:ascii="仿宋" w:hAnsi="仿宋" w:eastAsia="仿宋"/>
          <w:sz w:val="32"/>
          <w:szCs w:val="32"/>
          <w:highlight w:val="none"/>
        </w:rPr>
        <w:t xml:space="preserve"> </w:t>
      </w:r>
    </w:p>
    <w:p w14:paraId="568EDC46">
      <w:pPr>
        <w:jc w:val="left"/>
        <w:rPr>
          <w:rFonts w:hint="eastAsia" w:ascii="仿宋" w:hAnsi="仿宋" w:eastAsia="仿宋"/>
          <w:sz w:val="32"/>
          <w:szCs w:val="32"/>
          <w:highlight w:val="none"/>
        </w:rPr>
      </w:pPr>
    </w:p>
    <w:p w14:paraId="1478B078">
      <w:pPr>
        <w:jc w:val="center"/>
        <w:rPr>
          <w:rFonts w:ascii="仿宋" w:hAnsi="仿宋" w:eastAsia="仿宋"/>
          <w:sz w:val="32"/>
          <w:szCs w:val="32"/>
          <w:highlight w:val="none"/>
        </w:rPr>
      </w:pPr>
      <w:bookmarkStart w:id="0" w:name="_GoBack"/>
      <w:bookmarkEnd w:id="0"/>
      <w:r>
        <w:rPr>
          <w:rFonts w:hint="eastAsia" w:ascii="仿宋" w:hAnsi="仿宋" w:eastAsia="仿宋"/>
          <w:sz w:val="32"/>
          <w:szCs w:val="32"/>
          <w:highlight w:val="none"/>
        </w:rPr>
        <w:t>第四部分  预算表格</w:t>
      </w:r>
    </w:p>
    <w:p w14:paraId="78B71FB3">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0E7EACE5">
      <w:pPr>
        <w:rPr>
          <w:rFonts w:hint="eastAsia" w:ascii="仿宋" w:hAnsi="仿宋" w:eastAsia="仿宋"/>
          <w:sz w:val="32"/>
          <w:szCs w:val="32"/>
          <w:highlight w:val="none"/>
          <w:lang w:eastAsia="zh-CN"/>
        </w:rPr>
      </w:pPr>
    </w:p>
    <w:p w14:paraId="46FE201F">
      <w:pPr>
        <w:rPr>
          <w:rFonts w:hint="eastAsia" w:ascii="仿宋" w:hAnsi="仿宋" w:eastAsia="仿宋"/>
          <w:sz w:val="32"/>
          <w:szCs w:val="32"/>
          <w:highlight w:val="none"/>
          <w:lang w:eastAsia="zh-CN"/>
        </w:rPr>
      </w:pPr>
    </w:p>
    <w:p w14:paraId="1056C47D">
      <w:pPr>
        <w:rPr>
          <w:rFonts w:hint="eastAsia" w:ascii="仿宋" w:hAnsi="仿宋" w:eastAsia="仿宋"/>
          <w:sz w:val="32"/>
          <w:szCs w:val="32"/>
          <w:highlight w:val="none"/>
          <w:lang w:eastAsia="zh-CN"/>
        </w:rPr>
      </w:pPr>
    </w:p>
    <w:p w14:paraId="7D9B55E9">
      <w:pPr>
        <w:rPr>
          <w:rFonts w:hint="eastAsia" w:ascii="仿宋" w:hAnsi="仿宋" w:eastAsia="仿宋"/>
          <w:sz w:val="32"/>
          <w:szCs w:val="32"/>
          <w:highlight w:val="none"/>
          <w:lang w:eastAsia="zh-CN"/>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1F530B6C"/>
    <w:rsid w:val="1FFB4DF8"/>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0FE6EA9"/>
    <w:rsid w:val="344D4C9B"/>
    <w:rsid w:val="34A905DD"/>
    <w:rsid w:val="36273D08"/>
    <w:rsid w:val="37361A0B"/>
    <w:rsid w:val="38253B59"/>
    <w:rsid w:val="385B501F"/>
    <w:rsid w:val="38DE30B8"/>
    <w:rsid w:val="39284901"/>
    <w:rsid w:val="3A195161"/>
    <w:rsid w:val="3A482539"/>
    <w:rsid w:val="3A915046"/>
    <w:rsid w:val="3C4C15D1"/>
    <w:rsid w:val="3CEA5A8A"/>
    <w:rsid w:val="3D897F97"/>
    <w:rsid w:val="3DA7578C"/>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BB428B"/>
    <w:rsid w:val="52DF1D28"/>
    <w:rsid w:val="53360094"/>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8684BDF"/>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3994</Words>
  <Characters>4275</Characters>
  <Lines>19</Lines>
  <Paragraphs>5</Paragraphs>
  <TotalTime>65</TotalTime>
  <ScaleCrop>false</ScaleCrop>
  <LinksUpToDate>false</LinksUpToDate>
  <CharactersWithSpaces>4360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英格玛焦糖</cp:lastModifiedBy>
  <dcterms:modified xsi:type="dcterms:W3CDTF">2025-01-16T08:29:59Z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3571DCFF00AE498E94CFD31C45225C05_13</vt:lpwstr>
  </property>
  <property fmtid="{D5CDD505-2E9C-101B-9397-08002B2CF9AE}" pid="4" name="KSOTemplateDocerSaveRecord">
    <vt:lpwstr>eyJoZGlkIjoiNzEyZTlhNTA2MzdiOWI3NTljMDEzZWM4Mzc3YjQ1MjUiLCJ1c2VySWQiOiI5MTA3NzMxODUifQ==</vt:lpwstr>
  </property>
</Properties>
</file>