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715B8FBB">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蛟河市审计局（汇总）</w:t>
      </w: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2025年部门预算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二〇二五年一月十六日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蛟河市审计局</w:t>
      </w: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 xml:space="preserve">第一部分  </w:t>
      </w:r>
      <w:r>
        <w:rPr>
          <w:rFonts w:hint="eastAsia" w:ascii="仿宋" w:hAnsi="仿宋" w:eastAsia="仿宋"/>
          <w:sz w:val="32"/>
          <w:szCs w:val="32"/>
          <w:highlight w:val="none"/>
          <w:lang w:val="en-US" w:eastAsia="zh-CN"/>
        </w:rPr>
        <w:t>部门</w:t>
      </w:r>
      <w:r>
        <w:rPr>
          <w:rFonts w:hint="eastAsia" w:ascii="仿宋" w:hAnsi="仿宋" w:eastAsia="仿宋"/>
          <w:sz w:val="32"/>
          <w:szCs w:val="32"/>
          <w:highlight w:val="none"/>
        </w:rPr>
        <w:t>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val="en-US" w:eastAsia="zh-CN"/>
        </w:rPr>
        <w:t>部门</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51A77C7">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单位名称：蛟河市审计局</w:t>
      </w:r>
    </w:p>
    <w:p w14:paraId="140B6E46">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成立时间：1983年</w:t>
      </w:r>
    </w:p>
    <w:p w14:paraId="612F2279">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单位性质：蛟河市审计局是蛟河市人民政府的职能部门。主管全市审计工作，贯彻执行国家有关审计法律、法规和方针政策。蛟河市审计局为维护全市财经秩序，加强宏观调控，促进廉政建设等方面发挥了重要作用。</w:t>
      </w:r>
    </w:p>
    <w:p w14:paraId="002095E7">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主要职能：（一）主管全市审计工作。负责对全市财政收支和法律法规规定属于审计监督范围的财务收支的真实、合法和效益进行审计监督，对公共资金、国有资产、国有资源和领导干部履行经济责任情况实行审计全覆盖，对领导干部实行自然资源资产离任审计，对国家、省和吉林市有关重大政策措施贯彻落实情况进行跟踪审计。对审计、专项审计调查和核查社会审计机构相关审计报告的结果承担责任，并负有督促被审计单位整改的责任。</w:t>
      </w:r>
    </w:p>
    <w:p w14:paraId="0BA69C43">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二）贯彻执行国家有关审计法律、法规和方针政策制定并组织实施专业领域审计工作规划。参与起草地方性财政经济及其相关的地方性法规、规章草案。对直接审计、调查和核查的事项依法进行审计评价，作出审计决定或提出审计建议。</w:t>
      </w:r>
    </w:p>
    <w:p w14:paraId="5DB49A35">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三）向市委审计委员会提出年度市级预算执行和其他财政支出情况审计报告。向市长提出年度市级预算执行和其他财政收支情况的审计结果报告。受市政府委托向市人大常委会提出市级预算执行和其他财政收支情况的审计工作报告、审计查出问题整改情况报告。向市委、市政府报告对其他事项的审计和专项审计调查情况及结果。依法向社会公布审计结果，向市委和市政府有关部门和乡镇街（区）通报审计情况和审计结果。</w:t>
      </w:r>
    </w:p>
    <w:p w14:paraId="6EF618CA">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四）直接审计下列事项，出具审计报告，在法定职权范围内作出审计决定，包括国家和省和吉林市有关重大政策措施贯彻落实情况；市级预算执行情况和其他财政收支，市委、市政府各部门（含直属单位）预算执行情况、决算草案和其他财政收支；市级预算执行情况、决算草案和其他财政收支，市级财政转移支付资金；使用市财政资金的事业单位和社会团体的财务收支；市政府投资和以市政府投资为主的建设项目的预算执行情况和决算，市重大公共工程项目的资金管理使用和建设运营情况；自然资源管理、污染防治和生态保护与修复情况；市属国有企业和地方金融机构、市政府规定的市属国有资本占控股或主导地位的企业和地方金融机构境内外资产、负债和损益；有关社会保障基金、社会捐赠资金和其他基金、资金的财务收支；国际组织和外国政府援助、贷款项目；法律法规规定的其他事项。</w:t>
      </w:r>
    </w:p>
    <w:p w14:paraId="45D7E19A">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（五）按规定对市直、乡镇街（区）党政主要领导干部以及依法属于市审计局审计监督对象的其他单位主要负责人实施经济责任审计和自然资源资产离任审计。</w:t>
      </w:r>
    </w:p>
    <w:p w14:paraId="106AB2EB">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（六）组织实施对国家财经法律、法规、规章、政策和宏观调控措施执行情况、财政预算管理及国有资产管理使用等与国家财政收支有关的特定事项进行专项审计调查。</w:t>
      </w:r>
    </w:p>
    <w:p w14:paraId="7D49AF11">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（七）依法检查审计决定执行情况，督促整改审计查出的问题，依法办理被审计单位对审计决定提请行政复议、行政诉讼或市政府裁决中的有关事项，协助配合有关部门查处相关重大案件。</w:t>
      </w:r>
    </w:p>
    <w:p w14:paraId="071E2B5D">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（八）指导和监督内部审计工作，核查社会审计机构对依法属于审计监督对象的单位出具的相关审计报告。</w:t>
      </w:r>
    </w:p>
    <w:p w14:paraId="5A43C355">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（九）完成市委、市政府交办的其他任务。</w:t>
      </w:r>
    </w:p>
    <w:p w14:paraId="4E949018">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十）职能转变。进一步完善审计管理体制，加强全市审计工作统筹，明晰审计机关职能定位，理顺内部职责关系，优化审计资源配置，充实加强一线审计力量，构建集中统一、全面覆盖、权威高效的审计监督体系。优化审计工作机制，坚持科技强审，完善业务流程，改进工作方式，加强与相关部门的沟通协调，充分调动内部审计和社会审计力量，增强监督合力。</w:t>
      </w:r>
    </w:p>
    <w:p w14:paraId="2521E243">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 xml:space="preserve"> 二、机构设置</w:t>
      </w:r>
    </w:p>
    <w:p w14:paraId="06AE1F4F">
      <w:pPr>
        <w:pStyle w:val="12"/>
        <w:ind w:firstLine="640" w:firstLineChars="200"/>
        <w:rPr>
          <w:rFonts w:ascii="仿宋" w:hAnsi="仿宋" w:eastAsia="仿宋"/>
          <w:kern w:val="0"/>
          <w:szCs w:val="32"/>
        </w:rPr>
      </w:pPr>
      <w:r>
        <w:rPr>
          <w:rFonts w:hint="eastAsia" w:ascii="仿宋" w:hAnsi="仿宋" w:eastAsia="仿宋"/>
          <w:kern w:val="0"/>
          <w:szCs w:val="32"/>
        </w:rPr>
        <w:t>机构设置包括：办公室、固定资产投资审计科、社会保障审计科、行政事业审计科、经济责任审计科、农林水审计科、法规科</w:t>
      </w:r>
      <w:r>
        <w:rPr>
          <w:rFonts w:ascii="仿宋" w:hAnsi="仿宋" w:eastAsia="仿宋"/>
          <w:kern w:val="0"/>
          <w:szCs w:val="32"/>
        </w:rPr>
        <w:t>7</w:t>
      </w:r>
      <w:r>
        <w:rPr>
          <w:rFonts w:hint="eastAsia" w:ascii="仿宋" w:hAnsi="仿宋" w:eastAsia="仿宋"/>
          <w:kern w:val="0"/>
          <w:szCs w:val="32"/>
        </w:rPr>
        <w:t>个业务科室和</w:t>
      </w:r>
      <w:r>
        <w:rPr>
          <w:rFonts w:ascii="仿宋" w:hAnsi="仿宋" w:eastAsia="仿宋"/>
          <w:kern w:val="0"/>
          <w:szCs w:val="32"/>
        </w:rPr>
        <w:t>1</w:t>
      </w:r>
      <w:r>
        <w:rPr>
          <w:rFonts w:hint="eastAsia" w:ascii="仿宋" w:hAnsi="仿宋" w:eastAsia="仿宋"/>
          <w:kern w:val="0"/>
          <w:szCs w:val="32"/>
        </w:rPr>
        <w:t>个下属事业单位，蛟河市经济责任和投资审计中心。</w:t>
      </w:r>
    </w:p>
    <w:p w14:paraId="6F4E7A33">
      <w:pPr>
        <w:ind w:firstLine="640" w:firstLineChars="200"/>
        <w:jc w:val="left"/>
        <w:rPr>
          <w:rFonts w:ascii="仿宋" w:hAnsi="仿宋" w:eastAsia="仿宋"/>
          <w:sz w:val="32"/>
          <w:szCs w:val="32"/>
        </w:rPr>
      </w:pPr>
      <w:r>
        <w:rPr>
          <w:rFonts w:hint="eastAsia" w:ascii="仿宋" w:hAnsi="仿宋" w:eastAsia="仿宋"/>
          <w:kern w:val="0"/>
          <w:sz w:val="32"/>
          <w:szCs w:val="32"/>
        </w:rPr>
        <w:t>人员情况：现有行政编制</w:t>
      </w:r>
      <w:r>
        <w:rPr>
          <w:rFonts w:ascii="仿宋" w:hAnsi="仿宋" w:eastAsia="仿宋"/>
          <w:kern w:val="0"/>
          <w:sz w:val="32"/>
          <w:szCs w:val="32"/>
        </w:rPr>
        <w:t>17</w:t>
      </w:r>
      <w:r>
        <w:rPr>
          <w:rFonts w:hint="eastAsia" w:ascii="仿宋" w:hAnsi="仿宋" w:eastAsia="仿宋"/>
          <w:kern w:val="0"/>
          <w:sz w:val="32"/>
          <w:szCs w:val="32"/>
        </w:rPr>
        <w:t>个，机关工勤编制</w:t>
      </w:r>
      <w:r>
        <w:rPr>
          <w:rFonts w:ascii="仿宋" w:hAnsi="仿宋" w:eastAsia="仿宋"/>
          <w:kern w:val="0"/>
          <w:sz w:val="32"/>
          <w:szCs w:val="32"/>
        </w:rPr>
        <w:t>1</w:t>
      </w:r>
      <w:r>
        <w:rPr>
          <w:rFonts w:hint="eastAsia" w:ascii="仿宋" w:hAnsi="仿宋" w:eastAsia="仿宋"/>
          <w:kern w:val="0"/>
          <w:sz w:val="32"/>
          <w:szCs w:val="32"/>
        </w:rPr>
        <w:t>个，事业编制</w:t>
      </w:r>
      <w:r>
        <w:rPr>
          <w:rFonts w:ascii="仿宋" w:hAnsi="仿宋" w:eastAsia="仿宋"/>
          <w:kern w:val="0"/>
          <w:sz w:val="32"/>
          <w:szCs w:val="32"/>
        </w:rPr>
        <w:t>12</w:t>
      </w:r>
      <w:r>
        <w:rPr>
          <w:rFonts w:hint="eastAsia" w:ascii="仿宋" w:hAnsi="仿宋" w:eastAsia="仿宋"/>
          <w:kern w:val="0"/>
          <w:sz w:val="32"/>
          <w:szCs w:val="32"/>
        </w:rPr>
        <w:t>个，实有行政人员</w:t>
      </w:r>
      <w:r>
        <w:rPr>
          <w:rFonts w:ascii="仿宋" w:hAnsi="仿宋" w:eastAsia="仿宋"/>
          <w:kern w:val="0"/>
          <w:sz w:val="32"/>
          <w:szCs w:val="32"/>
        </w:rPr>
        <w:t>1</w:t>
      </w:r>
      <w:r>
        <w:rPr>
          <w:rFonts w:hint="eastAsia" w:ascii="仿宋" w:hAnsi="仿宋" w:eastAsia="仿宋"/>
          <w:kern w:val="0"/>
          <w:sz w:val="32"/>
          <w:szCs w:val="32"/>
          <w:lang w:val="en-US" w:eastAsia="zh-CN"/>
        </w:rPr>
        <w:t>5</w:t>
      </w:r>
      <w:r>
        <w:rPr>
          <w:rFonts w:hint="eastAsia" w:ascii="仿宋" w:hAnsi="仿宋" w:eastAsia="仿宋"/>
          <w:kern w:val="0"/>
          <w:sz w:val="32"/>
          <w:szCs w:val="32"/>
        </w:rPr>
        <w:t>人，机关工勤</w:t>
      </w:r>
      <w:r>
        <w:rPr>
          <w:rFonts w:ascii="仿宋" w:hAnsi="仿宋" w:eastAsia="仿宋"/>
          <w:kern w:val="0"/>
          <w:sz w:val="32"/>
          <w:szCs w:val="32"/>
        </w:rPr>
        <w:t>1</w:t>
      </w:r>
      <w:r>
        <w:rPr>
          <w:rFonts w:hint="eastAsia" w:ascii="仿宋" w:hAnsi="仿宋" w:eastAsia="仿宋"/>
          <w:kern w:val="0"/>
          <w:sz w:val="32"/>
          <w:szCs w:val="32"/>
        </w:rPr>
        <w:t>人，事业人员</w:t>
      </w:r>
      <w:r>
        <w:rPr>
          <w:rFonts w:hint="eastAsia" w:ascii="仿宋" w:hAnsi="仿宋" w:eastAsia="仿宋"/>
          <w:kern w:val="0"/>
          <w:sz w:val="32"/>
          <w:szCs w:val="32"/>
          <w:lang w:val="en-US" w:eastAsia="zh-CN"/>
        </w:rPr>
        <w:t>12</w:t>
      </w:r>
      <w:r>
        <w:rPr>
          <w:rFonts w:hint="eastAsia" w:ascii="仿宋" w:hAnsi="仿宋" w:eastAsia="仿宋"/>
          <w:kern w:val="0"/>
          <w:sz w:val="32"/>
          <w:szCs w:val="32"/>
        </w:rPr>
        <w:t>人，领导职数</w:t>
      </w:r>
      <w:r>
        <w:rPr>
          <w:rFonts w:ascii="仿宋" w:hAnsi="仿宋" w:eastAsia="仿宋"/>
          <w:kern w:val="0"/>
          <w:sz w:val="32"/>
          <w:szCs w:val="32"/>
        </w:rPr>
        <w:t>3</w:t>
      </w:r>
      <w:r>
        <w:rPr>
          <w:rFonts w:hint="eastAsia" w:ascii="仿宋" w:hAnsi="仿宋" w:eastAsia="仿宋"/>
          <w:kern w:val="0"/>
          <w:sz w:val="32"/>
          <w:szCs w:val="32"/>
        </w:rPr>
        <w:t>个。</w:t>
      </w:r>
    </w:p>
    <w:p w14:paraId="04118A57">
      <w:pPr>
        <w:pStyle w:val="10"/>
        <w:widowControl/>
        <w:spacing w:line="620" w:lineRule="exact"/>
        <w:ind w:firstLine="627" w:firstLineChars="196"/>
        <w:contextualSpacing/>
        <w:rPr>
          <w:rFonts w:hint="eastAsia" w:ascii="仿宋" w:hAnsi="仿宋" w:eastAsia="仿宋"/>
          <w:bCs/>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315.51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318.85</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减少3.34</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公务员调走1人，经费减少</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firstLine="640" w:firstLineChars="2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315.51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315.51万元，占100%；上年结转0万元，占0%。本年收入中，一般公共预算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315.51万</w:t>
      </w:r>
      <w:r>
        <w:rPr>
          <w:rFonts w:hint="eastAsia" w:ascii="仿宋" w:hAnsi="仿宋" w:eastAsia="仿宋"/>
          <w:sz w:val="32"/>
          <w:szCs w:val="32"/>
          <w:highlight w:val="none"/>
        </w:rPr>
        <w:t>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315.51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315.51</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315.51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315.51万元，上年结转0万元。支出包括：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239.89</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33.8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16.18</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25.64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315.51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315.51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287.73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91.2</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27.78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8.8</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239.89万元，占76.03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给员工发工资、日常公用经费等支出。</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社会保障和就业（类）支出33.8万元，占10.71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，主要用于：给员工</w:t>
      </w:r>
      <w:r>
        <w:rPr>
          <w:rFonts w:hint="eastAsia" w:ascii="仿宋" w:hAnsi="仿宋" w:eastAsia="仿宋"/>
          <w:sz w:val="32"/>
          <w:szCs w:val="32"/>
          <w:highlight w:val="none"/>
          <w:lang w:val="en-US" w:eastAsia="zh-CN"/>
        </w:rPr>
        <w:t>缴纳社会保障类费用。</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卫生健康（类）支出16.18万元，占3.22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给员工缴纳医疗险。</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住房保障（类）支出25.64万元，占8.14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缴纳住房公积金。</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2025年一般公共预算基本支出315.51万元，其中：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287.73</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机关事业单位基本养老保险缴费、职工基本医疗保险缴费、其他社会保障缴费、住房公积金、</w:t>
      </w:r>
      <w:r>
        <w:rPr>
          <w:rFonts w:hint="eastAsia" w:ascii="仿宋" w:hAnsi="仿宋" w:eastAsia="仿宋"/>
          <w:sz w:val="32"/>
          <w:szCs w:val="32"/>
          <w:highlight w:val="none"/>
        </w:rPr>
        <w:t>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27.78</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电费、</w:t>
      </w:r>
      <w:r>
        <w:rPr>
          <w:rFonts w:hint="eastAsia" w:ascii="仿宋" w:hAnsi="仿宋" w:eastAsia="仿宋"/>
          <w:sz w:val="32"/>
          <w:szCs w:val="32"/>
          <w:highlight w:val="none"/>
        </w:rPr>
        <w:t>邮电费、差旅费、公务接待费、工会经费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一致</w:t>
      </w:r>
      <w:r>
        <w:rPr>
          <w:rFonts w:hint="eastAsia" w:ascii="仿宋" w:hAnsi="仿宋" w:eastAsia="仿宋"/>
          <w:kern w:val="0"/>
          <w:sz w:val="32"/>
          <w:szCs w:val="32"/>
          <w:highlight w:val="none"/>
        </w:rPr>
        <w:t>。其中：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w:t>
      </w:r>
      <w:r>
        <w:rPr>
          <w:rFonts w:hint="eastAsia" w:ascii="仿宋" w:hAnsi="仿宋" w:eastAsia="仿宋"/>
          <w:kern w:val="0"/>
          <w:sz w:val="32"/>
          <w:szCs w:val="32"/>
          <w:highlight w:val="none"/>
          <w:lang w:val="en-US" w:eastAsia="zh-CN"/>
        </w:rPr>
        <w:t>一致</w:t>
      </w:r>
      <w:r>
        <w:rPr>
          <w:rFonts w:hint="eastAsia" w:ascii="仿宋" w:hAnsi="仿宋" w:eastAsia="仿宋"/>
          <w:kern w:val="0"/>
          <w:sz w:val="32"/>
          <w:szCs w:val="32"/>
          <w:highlight w:val="none"/>
          <w:lang w:eastAsia="zh-CN"/>
        </w:rPr>
        <w:t>。</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w:t>
      </w:r>
      <w:r>
        <w:rPr>
          <w:rFonts w:hint="eastAsia" w:ascii="仿宋" w:hAnsi="仿宋" w:eastAsia="仿宋"/>
          <w:kern w:val="0"/>
          <w:sz w:val="32"/>
          <w:szCs w:val="32"/>
          <w:highlight w:val="none"/>
          <w:lang w:val="en-US" w:eastAsia="zh-CN"/>
        </w:rPr>
        <w:t>一致</w:t>
      </w:r>
      <w:r>
        <w:rPr>
          <w:rFonts w:hint="eastAsia" w:ascii="仿宋" w:hAnsi="仿宋" w:eastAsia="仿宋"/>
          <w:kern w:val="0"/>
          <w:sz w:val="32"/>
          <w:szCs w:val="32"/>
          <w:highlight w:val="none"/>
        </w:rPr>
        <w:t>。其中，公务用车运行维护费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val="en-US" w:eastAsia="zh-CN"/>
        </w:rPr>
        <w:t>部门</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val="en-US" w:eastAsia="zh-CN"/>
        </w:rPr>
        <w:t>部门</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蛟河市审计局</w:t>
      </w:r>
      <w:r>
        <w:rPr>
          <w:rFonts w:hint="eastAsia" w:ascii="仿宋" w:hAnsi="仿宋" w:eastAsia="仿宋"/>
          <w:sz w:val="32"/>
          <w:szCs w:val="32"/>
          <w:highlight w:val="none"/>
        </w:rPr>
        <w:t>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w:t>
      </w:r>
      <w:r>
        <w:rPr>
          <w:rFonts w:hint="eastAsia" w:ascii="仿宋" w:hAnsi="仿宋" w:eastAsia="仿宋"/>
          <w:sz w:val="32"/>
          <w:szCs w:val="32"/>
          <w:highlight w:val="none"/>
          <w:lang w:val="en-US" w:eastAsia="zh-CN"/>
        </w:rPr>
        <w:t>及1家下属事业单位</w:t>
      </w:r>
      <w:r>
        <w:rPr>
          <w:rFonts w:hint="eastAsia" w:ascii="仿宋" w:hAnsi="仿宋" w:eastAsia="仿宋"/>
          <w:sz w:val="32"/>
          <w:szCs w:val="32"/>
          <w:highlight w:val="none"/>
        </w:rPr>
        <w:t>的机关运行经费财政拨款预算</w:t>
      </w:r>
      <w:r>
        <w:rPr>
          <w:rFonts w:hint="eastAsia" w:ascii="仿宋" w:hAnsi="仿宋" w:eastAsia="仿宋"/>
          <w:sz w:val="32"/>
          <w:szCs w:val="32"/>
          <w:highlight w:val="none"/>
          <w:lang w:val="en-US" w:eastAsia="zh-CN"/>
        </w:rPr>
        <w:t>27.78</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减少1</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减少3.47</w:t>
      </w:r>
      <w:bookmarkStart w:id="0" w:name="_GoBack"/>
      <w:bookmarkEnd w:id="0"/>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公务员调出1人</w:t>
      </w:r>
      <w:r>
        <w:rPr>
          <w:rFonts w:hint="eastAsia" w:ascii="仿宋" w:hAnsi="仿宋" w:eastAsia="仿宋"/>
          <w:sz w:val="32"/>
          <w:szCs w:val="32"/>
          <w:highlight w:val="none"/>
          <w:lang w:eastAsia="zh-CN"/>
        </w:rPr>
        <w:t>。</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一致</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hint="eastAsia" w:ascii="仿宋" w:hAnsi="仿宋" w:eastAsia="仿宋"/>
          <w:sz w:val="32"/>
          <w:szCs w:val="32"/>
          <w:highlight w:val="none"/>
        </w:rPr>
      </w:pPr>
      <w:r>
        <w:rPr>
          <w:rFonts w:hint="eastAsia" w:ascii="仿宋" w:hAnsi="仿宋" w:eastAsia="仿宋"/>
          <w:sz w:val="32"/>
          <w:szCs w:val="32"/>
          <w:highlight w:val="none"/>
        </w:rPr>
        <w:t xml:space="preserve"> </w:t>
      </w:r>
    </w:p>
    <w:p w14:paraId="568EDC46">
      <w:pPr>
        <w:jc w:val="left"/>
        <w:rPr>
          <w:rFonts w:hint="eastAsia" w:ascii="仿宋" w:hAnsi="仿宋" w:eastAsia="仿宋"/>
          <w:sz w:val="32"/>
          <w:szCs w:val="32"/>
          <w:highlight w:val="none"/>
        </w:rPr>
      </w:pPr>
    </w:p>
    <w:p w14:paraId="5FCEF4D9">
      <w:pPr>
        <w:jc w:val="left"/>
        <w:rPr>
          <w:rFonts w:hint="eastAsia" w:ascii="仿宋" w:hAnsi="仿宋" w:eastAsia="仿宋"/>
          <w:sz w:val="32"/>
          <w:szCs w:val="32"/>
          <w:highlight w:val="none"/>
        </w:rPr>
      </w:pPr>
    </w:p>
    <w:p w14:paraId="661AB55E">
      <w:pPr>
        <w:jc w:val="left"/>
        <w:rPr>
          <w:rFonts w:hint="eastAsia" w:ascii="仿宋" w:hAnsi="仿宋" w:eastAsia="仿宋"/>
          <w:sz w:val="32"/>
          <w:szCs w:val="32"/>
          <w:highlight w:val="none"/>
        </w:rPr>
      </w:pP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0E7EACE5">
      <w:pPr>
        <w:rPr>
          <w:rFonts w:hint="eastAsia" w:ascii="仿宋" w:hAnsi="仿宋" w:eastAsia="仿宋"/>
          <w:sz w:val="32"/>
          <w:szCs w:val="32"/>
          <w:highlight w:val="none"/>
          <w:lang w:eastAsia="zh-CN"/>
        </w:rPr>
      </w:pPr>
    </w:p>
    <w:p w14:paraId="46FE201F">
      <w:pPr>
        <w:rPr>
          <w:rFonts w:hint="eastAsia" w:ascii="仿宋" w:hAnsi="仿宋" w:eastAsia="仿宋"/>
          <w:sz w:val="32"/>
          <w:szCs w:val="32"/>
          <w:highlight w:val="none"/>
          <w:lang w:eastAsia="zh-CN"/>
        </w:rPr>
      </w:pPr>
    </w:p>
    <w:p w14:paraId="1056C47D">
      <w:pPr>
        <w:rPr>
          <w:rFonts w:hint="eastAsia" w:ascii="仿宋" w:hAnsi="仿宋" w:eastAsia="仿宋"/>
          <w:sz w:val="32"/>
          <w:szCs w:val="32"/>
          <w:highlight w:val="none"/>
          <w:lang w:eastAsia="zh-CN"/>
        </w:rPr>
      </w:pPr>
    </w:p>
    <w:p w14:paraId="7D9B55E9">
      <w:pPr>
        <w:rPr>
          <w:rFonts w:hint="eastAsia" w:ascii="仿宋" w:hAnsi="仿宋" w:eastAsia="仿宋"/>
          <w:sz w:val="32"/>
          <w:szCs w:val="32"/>
          <w:highlight w:val="none"/>
          <w:lang w:eastAsia="zh-CN"/>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19516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47C2F"/>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8684BDF"/>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3994</Words>
  <Characters>4275</Characters>
  <Lines>19</Lines>
  <Paragraphs>5</Paragraphs>
  <TotalTime>9</TotalTime>
  <ScaleCrop>false</ScaleCrop>
  <LinksUpToDate>false</LinksUpToDate>
  <CharactersWithSpaces>4360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英格玛焦糖</cp:lastModifiedBy>
  <dcterms:modified xsi:type="dcterms:W3CDTF">2025-01-17T01:41:37Z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D0B1A38101134CF9A90CDB41CCEB49D9_13</vt:lpwstr>
  </property>
  <property fmtid="{D5CDD505-2E9C-101B-9397-08002B2CF9AE}" pid="4" name="KSOTemplateDocerSaveRecord">
    <vt:lpwstr>eyJoZGlkIjoiNzEyZTlhNTA2MzdiOWI3NTljMDEzZWM4Mzc3YjQ1MjUiLCJ1c2VySWQiOiI5MTA3NzMxODUifQ==</vt:lpwstr>
  </property>
</Properties>
</file>