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715B8FBB">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蛟河市审计局（本级）</w:t>
      </w:r>
    </w:p>
    <w:p w14:paraId="4F8B34A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2025年单位预算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二〇二五年一月十六日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7EB7FC29">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蛟河市审计局</w:t>
      </w:r>
      <w:r>
        <w:rPr>
          <w:rFonts w:hint="eastAsia" w:ascii="黑体" w:hAnsi="黑体" w:eastAsia="黑体"/>
          <w:sz w:val="44"/>
          <w:szCs w:val="44"/>
          <w:highlight w:val="none"/>
          <w:lang w:eastAsia="zh-CN"/>
        </w:rPr>
        <w:t>2025</w:t>
      </w:r>
      <w:r>
        <w:rPr>
          <w:rFonts w:hint="eastAsia" w:ascii="黑体" w:hAnsi="黑体" w:eastAsia="黑体"/>
          <w:sz w:val="44"/>
          <w:szCs w:val="44"/>
          <w:highlight w:val="none"/>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 xml:space="preserve">第一部分  </w:t>
      </w:r>
      <w:r>
        <w:rPr>
          <w:rFonts w:hint="eastAsia" w:ascii="仿宋" w:hAnsi="仿宋" w:eastAsia="仿宋"/>
          <w:sz w:val="32"/>
          <w:szCs w:val="32"/>
          <w:highlight w:val="none"/>
          <w:lang w:val="en-US" w:eastAsia="zh-CN"/>
        </w:rPr>
        <w:t>单位</w:t>
      </w:r>
      <w:r>
        <w:rPr>
          <w:rFonts w:hint="eastAsia" w:ascii="仿宋" w:hAnsi="仿宋" w:eastAsia="仿宋"/>
          <w:sz w:val="32"/>
          <w:szCs w:val="32"/>
          <w:highlight w:val="none"/>
        </w:rPr>
        <w:t>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AA622D6">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51A77C7">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单位名称：蛟河市审计局</w:t>
      </w:r>
    </w:p>
    <w:p w14:paraId="140B6E46">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成立时间：1983年</w:t>
      </w:r>
    </w:p>
    <w:p w14:paraId="612F2279">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单位性质：蛟河市审计局是蛟河市人民政府的职能部门。主管全市审计工作，贯彻执行国家有关审计法律、法规和方针政策。蛟河市审计局为维护全市财经秩序，加强宏观调控，促进廉政建设等方面发挥了重要作用。</w:t>
      </w:r>
    </w:p>
    <w:p w14:paraId="002095E7">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主要职能：（一）主管全市审计工作。负责对全市财政收支和法律法规规定属于审计监督范围的财务收支的真实、合法和效益进行审计监督，对公共资金、国有资产、国有资源和领导干部履行经济责任情况实行审计全覆盖，对领导干部实行自然资源资产离任审计，对国家、省和吉林市有关重大政策措施贯彻落实情况进行跟踪审计。对审计、专项审计调查和核查社会审计机构相关审计报告的结果承担责任，并负有督促被审计单位整改的责任。</w:t>
      </w:r>
    </w:p>
    <w:p w14:paraId="0BA69C43">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二）贯彻执行国家有关审计法律、法规和方针政策制定并组织实施专业领域审计工作规划。参与起草地方性财政经济及其相关的地方性法规、规章草案。对直接审计、调查和核查的事项依法进行审计评价，作出审计决定或提出审计建议。</w:t>
      </w:r>
    </w:p>
    <w:p w14:paraId="5DB49A35">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三）向市委审计委员会提出年度市级预算执行和其他财政支出情况审计报告。向市长提出年度市级预算执行和其他财政收支情况的审计结果报告。受市政府委托向市人大常委会提出市级预算执行和其他财政收支情况的审计工作报告、审计查出问题整改情况报告。向市委、市政府报告对其他事项的审计和专项审计调查情况及结果。依法向社会公布审计结果，向市委和市政府有关部门和乡镇街（区）通报审计情况和审计结果。</w:t>
      </w:r>
    </w:p>
    <w:p w14:paraId="6EF618CA">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四）直接审计下列事项，出具审计报告，在法定职权范围内作出审计决定，包括国家和省和吉林市有关重大政策措施贯彻落实情况；市级预算执行情况和其他财政收支，市委、市政府各部门（含直属单位）预算执行情况、决算草案和其他财政收支；市级预算执行情况、决算草案和其他财政收支，市级财政转移支付资金；使用市财政资金的事业单位和社会团体的财务收支；市政府投资和以市政府投资为主的建设项目的预算执行情况和决算，市重大公共工程项目的资金管理使用和建设运营情况；自然资源管理、污染防治和生态保护与修复情况；市属国有企业和地方金融机构、市政府规定的市属国有资本占控股或主导地位的企业和地方金融机构境内外资产、负债和损益；有关社会保障基金、社会捐赠资金和其他基金、资金的财务收支；国际组织和外国政府援助、贷款项目；法律法规规定的其他事项。</w:t>
      </w:r>
    </w:p>
    <w:p w14:paraId="45D7E19A">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（五）按规定对市直、乡镇街（区）党政主要领导干部以及依法属于市审计局审计监督对象的其他单位主要负责人实施经济责任审计和自然资源资产离任审计。</w:t>
      </w:r>
    </w:p>
    <w:p w14:paraId="106AB2EB">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（六）组织实施对国家财经法律、法规、规章、政策和宏观调控措施执行情况、财政预算管理及国有资产管理使用等与国家财政收支有关的特定事项进行专项审计调查。</w:t>
      </w:r>
    </w:p>
    <w:p w14:paraId="7D49AF11">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（七）依法检查审计决定执行情况，督促整改审计查出的问题，依法办理被审计单位对审计决定提请行政复议、行政诉讼或市政府裁决中的有关事项，协助配合有关部门查处相关重大案件。</w:t>
      </w:r>
    </w:p>
    <w:p w14:paraId="071E2B5D">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（八）指导和监督内部审计工作，核查社会审计机构对依法属于审计监督对象的单位出具的相关审计报告。</w:t>
      </w:r>
    </w:p>
    <w:p w14:paraId="5A43C355">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（九）完成市委、市政府交办的其他任务。</w:t>
      </w:r>
    </w:p>
    <w:p w14:paraId="4E949018">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十）职能转变。进一步完善审计管理体制，加强全市审计工作统筹，明晰审计机关职能定位，理顺内部职责关系，优化审计资源配置，充实加强一线审计力量，构建集中统一、全面覆盖、权威高效的审计监督体系。优化审计工作机制，坚持科技强审，完善业务流程，改进工作方式，加强与相关部门的沟通协调，充分调动内部审计和社会审计力量，增强监督合力。</w:t>
      </w:r>
    </w:p>
    <w:p w14:paraId="2521E243">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 xml:space="preserve"> 二、机构设置</w:t>
      </w:r>
    </w:p>
    <w:p w14:paraId="213A7B43">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机构设置包括：办公室、固定资产投资审计科、社会保障审计科、行政事业审计科、经济责任审计科、农林水审计科、法规科7个业务科室。</w:t>
      </w:r>
    </w:p>
    <w:p w14:paraId="04118A57">
      <w:pPr>
        <w:pStyle w:val="10"/>
        <w:widowControl/>
        <w:spacing w:line="620" w:lineRule="exact"/>
        <w:ind w:firstLine="627" w:firstLineChars="196"/>
        <w:contextualSpacing/>
        <w:rPr>
          <w:rFonts w:hint="eastAsia" w:ascii="仿宋" w:hAnsi="仿宋" w:eastAsia="仿宋"/>
          <w:bCs/>
          <w:sz w:val="32"/>
          <w:szCs w:val="32"/>
          <w:highlight w:val="none"/>
        </w:rPr>
      </w:pPr>
      <w:r>
        <w:rPr>
          <w:rFonts w:hint="eastAsia" w:ascii="仿宋" w:hAnsi="仿宋" w:eastAsia="仿宋"/>
          <w:bCs/>
          <w:sz w:val="32"/>
          <w:szCs w:val="32"/>
          <w:highlight w:val="none"/>
        </w:rPr>
        <w:t>人员情况：现有行政编制17个，机关工勤编制1个，实有行政人员1</w:t>
      </w:r>
      <w:r>
        <w:rPr>
          <w:rFonts w:hint="eastAsia" w:ascii="仿宋" w:hAnsi="仿宋" w:eastAsia="仿宋"/>
          <w:bCs/>
          <w:sz w:val="32"/>
          <w:szCs w:val="32"/>
          <w:highlight w:val="none"/>
          <w:lang w:val="en-US" w:eastAsia="zh-CN"/>
        </w:rPr>
        <w:t>4</w:t>
      </w:r>
      <w:r>
        <w:rPr>
          <w:rFonts w:hint="eastAsia" w:ascii="仿宋" w:hAnsi="仿宋" w:eastAsia="仿宋"/>
          <w:bCs/>
          <w:sz w:val="32"/>
          <w:szCs w:val="32"/>
          <w:highlight w:val="none"/>
        </w:rPr>
        <w:t xml:space="preserve">人，机关工勤1人。   </w:t>
      </w:r>
    </w:p>
    <w:p w14:paraId="677DE9DA">
      <w:pPr>
        <w:jc w:val="center"/>
        <w:rPr>
          <w:rFonts w:hint="eastAsia" w:ascii="黑体" w:hAnsi="黑体" w:eastAsia="黑体"/>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203.91</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210.17</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6.26 </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公务员调走1人，经费减少</w:t>
      </w:r>
      <w:r>
        <w:rPr>
          <w:rFonts w:hint="eastAsia" w:ascii="仿宋" w:hAnsi="仿宋" w:eastAsia="仿宋"/>
          <w:sz w:val="32"/>
          <w:szCs w:val="32"/>
          <w:highlight w:val="none"/>
          <w:lang w:eastAsia="zh-CN"/>
        </w:rPr>
        <w:t>。</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firstLine="640" w:firstLineChars="2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203.91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203.91万元，占100%；上年结转0万元，占0%。本年收入中，一般公共预算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203.91万</w:t>
      </w:r>
      <w:r>
        <w:rPr>
          <w:rFonts w:hint="eastAsia" w:ascii="仿宋" w:hAnsi="仿宋" w:eastAsia="仿宋"/>
          <w:sz w:val="32"/>
          <w:szCs w:val="32"/>
          <w:highlight w:val="none"/>
        </w:rPr>
        <w:t>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203.91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203.91</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203.91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203.91万元，上年结转0万元。支出包括：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156.55</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20.98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10.15</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16.23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203.91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203.91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181.1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88.81</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22.81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11.19</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156.55万元，占76.77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给员工发工资、日常公用经费等支出。</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社会保障和就业（类）支出20.98万元，占10.29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，主要用于：给员工</w:t>
      </w:r>
      <w:r>
        <w:rPr>
          <w:rFonts w:hint="eastAsia" w:ascii="仿宋" w:hAnsi="仿宋" w:eastAsia="仿宋"/>
          <w:sz w:val="32"/>
          <w:szCs w:val="32"/>
          <w:highlight w:val="none"/>
          <w:lang w:val="en-US" w:eastAsia="zh-CN"/>
        </w:rPr>
        <w:t>缴纳社会保障类费用。</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卫生健康（类）支出10.15万元，占4.98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给员工缴纳医疗险。</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住房保障（类）支出16.23万元，占7.96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缴纳住房公积金。</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2025年一般公共预算基本支出203.91万元，其中：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181.1</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机关事业单位基本养老保险缴费、职工基本医疗保险缴费、其他社会保障缴费、住房公积金、</w:t>
      </w:r>
      <w:r>
        <w:rPr>
          <w:rFonts w:hint="eastAsia" w:ascii="仿宋" w:hAnsi="仿宋" w:eastAsia="仿宋"/>
          <w:sz w:val="32"/>
          <w:szCs w:val="32"/>
          <w:highlight w:val="none"/>
        </w:rPr>
        <w:t>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22.81</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电费、</w:t>
      </w:r>
      <w:r>
        <w:rPr>
          <w:rFonts w:hint="eastAsia" w:ascii="仿宋" w:hAnsi="仿宋" w:eastAsia="仿宋"/>
          <w:sz w:val="32"/>
          <w:szCs w:val="32"/>
          <w:highlight w:val="none"/>
        </w:rPr>
        <w:t>邮电费、差旅费、公务接待费、工会经费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3</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一致</w:t>
      </w:r>
      <w:r>
        <w:rPr>
          <w:rFonts w:hint="eastAsia" w:ascii="仿宋" w:hAnsi="仿宋" w:eastAsia="仿宋"/>
          <w:kern w:val="0"/>
          <w:sz w:val="32"/>
          <w:szCs w:val="32"/>
          <w:highlight w:val="none"/>
        </w:rPr>
        <w:t>。其中：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3</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w:t>
      </w:r>
      <w:r>
        <w:rPr>
          <w:rFonts w:hint="eastAsia" w:ascii="仿宋" w:hAnsi="仿宋" w:eastAsia="仿宋"/>
          <w:kern w:val="0"/>
          <w:sz w:val="32"/>
          <w:szCs w:val="32"/>
          <w:highlight w:val="none"/>
          <w:lang w:val="en-US" w:eastAsia="zh-CN"/>
        </w:rPr>
        <w:t>一致</w:t>
      </w:r>
      <w:r>
        <w:rPr>
          <w:rFonts w:hint="eastAsia" w:ascii="仿宋" w:hAnsi="仿宋" w:eastAsia="仿宋"/>
          <w:kern w:val="0"/>
          <w:sz w:val="32"/>
          <w:szCs w:val="32"/>
          <w:highlight w:val="none"/>
          <w:lang w:eastAsia="zh-CN"/>
        </w:rPr>
        <w:t>。</w:t>
      </w:r>
    </w:p>
    <w:p w14:paraId="78C2E709">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年预算数</w:t>
      </w:r>
      <w:r>
        <w:rPr>
          <w:rFonts w:hint="eastAsia" w:ascii="仿宋" w:hAnsi="仿宋" w:eastAsia="仿宋"/>
          <w:kern w:val="0"/>
          <w:sz w:val="32"/>
          <w:szCs w:val="32"/>
          <w:highlight w:val="none"/>
          <w:lang w:val="en-US" w:eastAsia="zh-CN"/>
        </w:rPr>
        <w:t>一致</w:t>
      </w:r>
      <w:r>
        <w:rPr>
          <w:rFonts w:hint="eastAsia" w:ascii="仿宋" w:hAnsi="仿宋" w:eastAsia="仿宋"/>
          <w:kern w:val="0"/>
          <w:sz w:val="32"/>
          <w:szCs w:val="32"/>
          <w:highlight w:val="none"/>
        </w:rPr>
        <w:t>。其中，公务用车运行维护费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蛟河市审计局</w:t>
      </w:r>
      <w:r>
        <w:rPr>
          <w:rFonts w:hint="eastAsia" w:ascii="仿宋" w:hAnsi="仿宋" w:eastAsia="仿宋"/>
          <w:sz w:val="32"/>
          <w:szCs w:val="32"/>
          <w:highlight w:val="none"/>
        </w:rPr>
        <w:t>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家行政单位的机关运行经费财政拨款预算</w:t>
      </w:r>
      <w:r>
        <w:rPr>
          <w:rFonts w:hint="eastAsia" w:ascii="仿宋" w:hAnsi="仿宋" w:eastAsia="仿宋"/>
          <w:sz w:val="32"/>
          <w:szCs w:val="32"/>
          <w:highlight w:val="none"/>
          <w:lang w:val="en-US" w:eastAsia="zh-CN"/>
        </w:rPr>
        <w:t>22.81</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减少1.03</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减少4.32</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公务员调出1人</w:t>
      </w:r>
      <w:r>
        <w:rPr>
          <w:rFonts w:hint="eastAsia" w:ascii="仿宋" w:hAnsi="仿宋" w:eastAsia="仿宋"/>
          <w:sz w:val="32"/>
          <w:szCs w:val="32"/>
          <w:highlight w:val="none"/>
          <w:lang w:eastAsia="zh-CN"/>
        </w:rPr>
        <w:t>。</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一致</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hint="eastAsia" w:ascii="仿宋" w:hAnsi="仿宋" w:eastAsia="仿宋"/>
          <w:sz w:val="32"/>
          <w:szCs w:val="32"/>
          <w:highlight w:val="none"/>
        </w:rPr>
      </w:pPr>
      <w:r>
        <w:rPr>
          <w:rFonts w:hint="eastAsia" w:ascii="仿宋" w:hAnsi="仿宋" w:eastAsia="仿宋"/>
          <w:sz w:val="32"/>
          <w:szCs w:val="32"/>
          <w:highlight w:val="none"/>
        </w:rPr>
        <w:t xml:space="preserve"> </w:t>
      </w:r>
    </w:p>
    <w:p w14:paraId="568EDC46">
      <w:pPr>
        <w:jc w:val="left"/>
        <w:rPr>
          <w:rFonts w:hint="eastAsia" w:ascii="仿宋" w:hAnsi="仿宋" w:eastAsia="仿宋"/>
          <w:sz w:val="32"/>
          <w:szCs w:val="32"/>
          <w:highlight w:val="none"/>
        </w:rPr>
      </w:pPr>
    </w:p>
    <w:p w14:paraId="5FCEF4D9">
      <w:pPr>
        <w:jc w:val="left"/>
        <w:rPr>
          <w:rFonts w:hint="eastAsia" w:ascii="仿宋" w:hAnsi="仿宋" w:eastAsia="仿宋"/>
          <w:sz w:val="32"/>
          <w:szCs w:val="32"/>
          <w:highlight w:val="none"/>
        </w:rPr>
      </w:pPr>
    </w:p>
    <w:p w14:paraId="661AB55E">
      <w:pPr>
        <w:jc w:val="left"/>
        <w:rPr>
          <w:rFonts w:hint="eastAsia" w:ascii="仿宋" w:hAnsi="仿宋" w:eastAsia="仿宋"/>
          <w:sz w:val="32"/>
          <w:szCs w:val="32"/>
          <w:highlight w:val="none"/>
        </w:rPr>
      </w:pP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0E7EACE5">
      <w:pPr>
        <w:rPr>
          <w:rFonts w:hint="eastAsia" w:ascii="仿宋" w:hAnsi="仿宋" w:eastAsia="仿宋"/>
          <w:sz w:val="32"/>
          <w:szCs w:val="32"/>
          <w:highlight w:val="none"/>
          <w:lang w:eastAsia="zh-CN"/>
        </w:rPr>
      </w:pPr>
    </w:p>
    <w:p w14:paraId="46FE201F">
      <w:pPr>
        <w:rPr>
          <w:rFonts w:hint="eastAsia" w:ascii="仿宋" w:hAnsi="仿宋" w:eastAsia="仿宋"/>
          <w:sz w:val="32"/>
          <w:szCs w:val="32"/>
          <w:highlight w:val="none"/>
          <w:lang w:eastAsia="zh-CN"/>
        </w:rPr>
      </w:pPr>
    </w:p>
    <w:p w14:paraId="1056C47D">
      <w:pPr>
        <w:rPr>
          <w:rFonts w:hint="eastAsia" w:ascii="仿宋" w:hAnsi="仿宋" w:eastAsia="仿宋"/>
          <w:sz w:val="32"/>
          <w:szCs w:val="32"/>
          <w:highlight w:val="none"/>
          <w:lang w:eastAsia="zh-CN"/>
        </w:rPr>
      </w:pPr>
      <w:bookmarkStart w:id="0" w:name="_GoBack"/>
      <w:bookmarkEnd w:id="0"/>
    </w:p>
    <w:p w14:paraId="7D9B55E9">
      <w:pPr>
        <w:rPr>
          <w:rFonts w:hint="eastAsia" w:ascii="仿宋" w:hAnsi="仿宋" w:eastAsia="仿宋"/>
          <w:sz w:val="32"/>
          <w:szCs w:val="32"/>
          <w:highlight w:val="none"/>
          <w:lang w:eastAsia="zh-CN"/>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19516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8684BDF"/>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2839</Words>
  <Characters>3090</Characters>
  <Lines>19</Lines>
  <Paragraphs>5</Paragraphs>
  <TotalTime>0</TotalTime>
  <ScaleCrop>false</ScaleCrop>
  <LinksUpToDate>false</LinksUpToDate>
  <CharactersWithSpaces>3266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英格玛焦糖</cp:lastModifiedBy>
  <dcterms:modified xsi:type="dcterms:W3CDTF">2025-01-16T02:45:52Z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D0B1A38101134CF9A90CDB41CCEB49D9_13</vt:lpwstr>
  </property>
  <property fmtid="{D5CDD505-2E9C-101B-9397-08002B2CF9AE}" pid="4" name="KSOTemplateDocerSaveRecord">
    <vt:lpwstr>eyJoZGlkIjoiNzEyZTlhNTA2MzdiOWI3NTljMDEzZWM4Mzc3YjQ1MjUiLCJ1c2VySWQiOiI5MTA3NzMxODUifQ==</vt:lpwstr>
  </property>
</Properties>
</file>