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蛟河市园林管理中心2025年部门预算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二〇二五年一月二十一日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蛟河市园林管理中心</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84A0B08">
      <w:pPr>
        <w:jc w:val="left"/>
        <w:rPr>
          <w:rFonts w:ascii="仿宋" w:hAnsi="仿宋" w:eastAsia="仿宋"/>
          <w:sz w:val="32"/>
          <w:szCs w:val="32"/>
        </w:rPr>
      </w:pPr>
      <w:r>
        <w:rPr>
          <w:rFonts w:hint="eastAsia" w:ascii="仿宋" w:hAnsi="仿宋" w:eastAsia="仿宋"/>
          <w:sz w:val="32"/>
          <w:szCs w:val="32"/>
        </w:rPr>
        <w:t xml:space="preserve"> 一、主要职能</w:t>
      </w:r>
    </w:p>
    <w:p w14:paraId="4EF7FCB7">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名称：蛟河市园林管理中心</w:t>
      </w:r>
    </w:p>
    <w:p w14:paraId="4910888C">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成立时间：1992年2月</w:t>
      </w:r>
    </w:p>
    <w:p w14:paraId="27BBAA62">
      <w:pPr>
        <w:pStyle w:val="10"/>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蛟河市园林管理中心是公益一类事业单位。是以从事管理园林绿地、美化城市环境、城市园林系统规划、园林绿地建设、园林绿地管理与维护、城市园林绿化工程设计等社会公益服务事业发展的公益一类事业单位。蛟河市园林管理中心通过园林绿地建设、管理与维护、美化了城市环境，为蛟河市经济发展，营造百姓安居乐业的舒适环境发挥了积极作用。</w:t>
      </w:r>
    </w:p>
    <w:p w14:paraId="20364671">
      <w:pPr>
        <w:pStyle w:val="10"/>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 xml:space="preserve">主要业务职能：贯彻执行国家 省 市有关园林绿化方面的方针 政策 法规 条例  拟订城市园林绿化建设事业的中长期发展规划和年度计划 并组织实施  依照市区总体规划 负责对公园 游园 广场 绿地 街路绿化的编制及实施 指导监督全市单位庭院 居民小区的绿化工作  负责市区公共绿地的设计 建设与管理  负责市区公园 游园 广场的日常维护管理  负责对公共绿地及街路的树木 花草及各项园林设施的维护管理  负责城市规划区内植物栽植 修剪 病虫害防治等工作 负责建立苗圃 花圃等生产用地 </w:t>
      </w:r>
    </w:p>
    <w:p w14:paraId="50940DF3">
      <w:pPr>
        <w:jc w:val="left"/>
        <w:rPr>
          <w:rFonts w:ascii="仿宋" w:hAnsi="仿宋" w:eastAsia="仿宋"/>
          <w:sz w:val="32"/>
          <w:szCs w:val="32"/>
        </w:rPr>
      </w:pPr>
      <w:r>
        <w:rPr>
          <w:rFonts w:hint="eastAsia" w:ascii="仿宋" w:hAnsi="仿宋" w:eastAsia="仿宋"/>
          <w:sz w:val="32"/>
          <w:szCs w:val="32"/>
        </w:rPr>
        <w:t xml:space="preserve">   二、机构设置</w:t>
      </w:r>
    </w:p>
    <w:p w14:paraId="3058A1D9">
      <w:pPr>
        <w:pStyle w:val="12"/>
        <w:ind w:firstLine="627" w:firstLineChars="196"/>
        <w:rPr>
          <w:rFonts w:ascii="仿宋" w:hAnsi="仿宋" w:eastAsia="仿宋"/>
          <w:kern w:val="0"/>
          <w:szCs w:val="32"/>
        </w:rPr>
      </w:pPr>
      <w:r>
        <w:rPr>
          <w:rFonts w:hint="eastAsia" w:ascii="仿宋" w:hAnsi="仿宋" w:eastAsia="仿宋"/>
          <w:kern w:val="0"/>
          <w:szCs w:val="32"/>
        </w:rPr>
        <w:t>机构设置包括：办公室、监察科、技术科、工程科；</w:t>
      </w:r>
    </w:p>
    <w:p w14:paraId="59239D68">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50</w:t>
      </w:r>
      <w:r>
        <w:rPr>
          <w:rFonts w:hint="eastAsia" w:ascii="仿宋" w:hAnsi="仿宋" w:eastAsia="仿宋"/>
          <w:kern w:val="0"/>
          <w:szCs w:val="32"/>
        </w:rPr>
        <w:t>人，编制数29人，领导职数3个。</w:t>
      </w:r>
    </w:p>
    <w:p w14:paraId="161897B2">
      <w:pPr>
        <w:jc w:val="left"/>
        <w:rPr>
          <w:rFonts w:ascii="仿宋" w:hAnsi="仿宋" w:eastAsia="仿宋"/>
          <w:sz w:val="32"/>
          <w:szCs w:val="32"/>
          <w:highlight w:val="none"/>
        </w:rPr>
      </w:pPr>
      <w:r>
        <w:rPr>
          <w:rFonts w:hint="eastAsia" w:ascii="宋体" w:hAnsi="宋体" w:eastAsia="宋体" w:cs="宋体"/>
          <w:kern w:val="0"/>
          <w:sz w:val="18"/>
          <w:szCs w:val="18"/>
        </w:rPr>
        <w:br w:type="textWrapping"/>
      </w: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435.67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w:t>
      </w:r>
      <w:r>
        <w:rPr>
          <w:rFonts w:hint="eastAsia" w:ascii="仿宋" w:hAnsi="仿宋" w:eastAsia="仿宋"/>
          <w:sz w:val="32"/>
          <w:szCs w:val="32"/>
        </w:rPr>
        <w:t>723.03</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减少287.36</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城乡社区支出减少 </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435.67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435.67万元，占100%。本年收入中，一般公共预算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435.67万元，占100%。。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435.67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435.67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bookmarkStart w:id="0" w:name="_GoBack"/>
      <w:bookmarkEnd w:id="0"/>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435.67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435.67万元。支出包括：</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46.7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22.24</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城乡社区支出332.56万元，</w:t>
      </w:r>
      <w:r>
        <w:rPr>
          <w:rFonts w:hint="eastAsia" w:ascii="仿宋" w:hAnsi="仿宋" w:eastAsia="仿宋"/>
          <w:sz w:val="32"/>
          <w:szCs w:val="32"/>
          <w:highlight w:val="none"/>
        </w:rPr>
        <w:t>住房保障支出</w:t>
      </w:r>
      <w:r>
        <w:rPr>
          <w:rFonts w:hint="eastAsia" w:ascii="仿宋" w:hAnsi="仿宋" w:eastAsia="仿宋"/>
          <w:sz w:val="32"/>
          <w:szCs w:val="32"/>
          <w:highlight w:val="none"/>
          <w:lang w:val="en-US" w:eastAsia="zh-CN"/>
        </w:rPr>
        <w:t>34.16</w:t>
      </w:r>
      <w:r>
        <w:rPr>
          <w:rFonts w:hint="eastAsia" w:ascii="仿宋" w:hAnsi="仿宋" w:eastAsia="仿宋"/>
          <w:sz w:val="32"/>
          <w:szCs w:val="32"/>
          <w:highlight w:val="none"/>
        </w:rPr>
        <w:t>万元。</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435.67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435.67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387.80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89.01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47.87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10.99</w:t>
      </w:r>
      <w:r>
        <w:rPr>
          <w:rFonts w:hint="eastAsia" w:ascii="仿宋" w:hAnsi="仿宋" w:eastAsia="仿宋"/>
          <w:sz w:val="32"/>
          <w:szCs w:val="32"/>
          <w:highlight w:val="none"/>
        </w:rPr>
        <w:t>%。</w:t>
      </w:r>
    </w:p>
    <w:p w14:paraId="3E56B48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46.7万元，占10.72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事业单位基本养老保险缴费及失业保险缴费。</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22.4万元，占5.14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职工基本医疗保险缴费，其他社会保障缴费及工伤保险缴费。</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住房保障（类）支出34.16万元，占7.84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事业单位职工住房公积金缴费。</w:t>
      </w:r>
    </w:p>
    <w:p w14:paraId="748C9B58">
      <w:pPr>
        <w:ind w:firstLine="640" w:firstLineChars="200"/>
        <w:rPr>
          <w:rFonts w:ascii="仿宋" w:hAnsi="仿宋" w:eastAsia="仿宋"/>
          <w:sz w:val="32"/>
          <w:szCs w:val="32"/>
        </w:rPr>
      </w:pPr>
      <w:r>
        <w:rPr>
          <w:rFonts w:hint="eastAsia" w:ascii="仿宋" w:hAnsi="仿宋" w:eastAsia="仿宋"/>
          <w:sz w:val="32"/>
          <w:szCs w:val="32"/>
        </w:rPr>
        <w:t>城乡社区（类）支出</w:t>
      </w:r>
      <w:r>
        <w:rPr>
          <w:rFonts w:hint="eastAsia" w:ascii="仿宋" w:hAnsi="仿宋" w:eastAsia="仿宋"/>
          <w:sz w:val="32"/>
          <w:szCs w:val="32"/>
          <w:lang w:val="en-US" w:eastAsia="zh-CN"/>
        </w:rPr>
        <w:t>332.56</w:t>
      </w:r>
      <w:r>
        <w:rPr>
          <w:rFonts w:hint="eastAsia" w:ascii="仿宋" w:hAnsi="仿宋" w:eastAsia="仿宋"/>
          <w:sz w:val="32"/>
          <w:szCs w:val="32"/>
        </w:rPr>
        <w:t>万元，占</w:t>
      </w:r>
      <w:r>
        <w:rPr>
          <w:rFonts w:hint="eastAsia" w:ascii="仿宋" w:hAnsi="仿宋" w:eastAsia="仿宋"/>
          <w:sz w:val="32"/>
          <w:szCs w:val="32"/>
          <w:lang w:val="en-US" w:eastAsia="zh-CN"/>
        </w:rPr>
        <w:t>76.33</w:t>
      </w:r>
      <w:r>
        <w:rPr>
          <w:rFonts w:hint="eastAsia" w:ascii="仿宋" w:hAnsi="仿宋" w:eastAsia="仿宋"/>
          <w:sz w:val="32"/>
          <w:szCs w:val="32"/>
        </w:rPr>
        <w:t>%，主要用于城区规划内绿地建设、绿地维护及管理。</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2025年一般公共预算基本支出435.67万元，其中：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387.80</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47.87</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xx</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w:t>
      </w:r>
    </w:p>
    <w:p w14:paraId="130EC30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万元，主要原因是***。</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家行政单位以及**等**家参公管公事业单位的机关运行经费财政拨款预算</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万元，增长**%，主要原因是***</w:t>
      </w:r>
      <w:r>
        <w:rPr>
          <w:rFonts w:hint="eastAsia" w:ascii="仿宋" w:hAnsi="仿宋" w:eastAsia="仿宋"/>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xx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,增长/下降**%，主要原因是***</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年政府采购预算总额xx万元，其中：政府采购办公设备和其他设备预算xx万元，政府采购工程预算</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辆，其中，领导干部用车 * 辆、一般公务用车 * 辆,一般执法执勤用车</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xx </w:t>
      </w:r>
      <w:r>
        <w:rPr>
          <w:rFonts w:hint="eastAsia" w:ascii="仿宋" w:hAnsi="仿宋" w:eastAsia="仿宋"/>
          <w:sz w:val="32"/>
          <w:szCs w:val="32"/>
          <w:highlight w:val="none"/>
        </w:rPr>
        <w:t>万元，其中**。</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 *</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个部门本级预算项目，涉及金额 **万元，项目内容为****主要目标为****。同时，将预算项目绩效目标进一步细化为绩效指标和指标值（附预算项目绩效目标申报表）。</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4D7677"/>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2839</Words>
  <Characters>3090</Characters>
  <Lines>19</Lines>
  <Paragraphs>5</Paragraphs>
  <TotalTime>2</TotalTime>
  <ScaleCrop>false</ScaleCrop>
  <LinksUpToDate>false</LinksUpToDate>
  <CharactersWithSpaces>3266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Y.</cp:lastModifiedBy>
  <dcterms:modified xsi:type="dcterms:W3CDTF">2025-01-21T03:10:28Z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58ED0D0AF3AD446D87C4F8C3CD649C51_13</vt:lpwstr>
  </property>
  <property fmtid="{D5CDD505-2E9C-101B-9397-08002B2CF9AE}" pid="4" name="KSOTemplateDocerSaveRecord">
    <vt:lpwstr>eyJoZGlkIjoiNjQxYTQwMGE4ZjcwNjJjMjM1MzkwOGQ1MzVkYTdlZDUiLCJ1c2VySWQiOiI0MTU3MDkxMzcifQ==</vt:lpwstr>
  </property>
</Properties>
</file>