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F8B34A8">
      <w:pPr>
        <w:ind w:left="520" w:hanging="520" w:hangingChars="100"/>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蛟河市黄松甸镇综合服务中心   2025年部门预算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none"/>
          <w:shd w:val="clear" w:color="auto" w:fill="auto"/>
          <w:lang w:val="en-US" w:eastAsia="zh-CN"/>
        </w:rPr>
        <w:t>二〇二五年一月一十七日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蛟河市黄松甸镇综合服务中心2025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3A25E96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088103FB">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lang w:eastAsia="zh-CN"/>
        </w:rPr>
        <w:t>蛟河市黄松甸镇综合服务中心</w:t>
      </w:r>
    </w:p>
    <w:p w14:paraId="596FD2A0">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2020</w:t>
      </w:r>
      <w:r>
        <w:rPr>
          <w:rFonts w:hint="eastAsia" w:ascii="仿宋" w:hAnsi="仿宋" w:eastAsia="仿宋"/>
          <w:bCs/>
          <w:kern w:val="0"/>
          <w:sz w:val="32"/>
          <w:szCs w:val="32"/>
          <w:highlight w:val="none"/>
        </w:rPr>
        <w:t>年</w:t>
      </w:r>
    </w:p>
    <w:p w14:paraId="1B080D66">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蛟河市黄松甸镇综合服务中心为隶属于蛟河市黄松甸镇人民政府的</w:t>
      </w:r>
      <w:r>
        <w:rPr>
          <w:rFonts w:hint="eastAsia" w:ascii="仿宋" w:hAnsi="仿宋" w:eastAsia="仿宋" w:cs="仿宋"/>
          <w:kern w:val="0"/>
          <w:sz w:val="32"/>
          <w:szCs w:val="32"/>
          <w:lang w:eastAsia="zh-CN"/>
        </w:rPr>
        <w:t>全额拨款公益一类事业单位</w:t>
      </w:r>
      <w:r>
        <w:rPr>
          <w:rFonts w:hint="eastAsia" w:ascii="仿宋" w:hAnsi="仿宋" w:eastAsia="仿宋"/>
          <w:kern w:val="0"/>
          <w:sz w:val="32"/>
          <w:szCs w:val="32"/>
          <w:highlight w:val="none"/>
        </w:rPr>
        <w:t>。</w:t>
      </w:r>
    </w:p>
    <w:p w14:paraId="2E12287A">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1C4A191A">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1、为辖区内农业、农机技术推广，农业技能培训，农业机械安全等相关工作提供技术支持和服务保障。农作物病虫潮鼠防治及为农民提供配方施肥用肥指导等工作。</w:t>
      </w:r>
    </w:p>
    <w:p w14:paraId="4E5A07EA">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2、负责辖区内畜牧业标准化技术的推广和应用，落实强牧惠牧政策，做好畜产品质量安全服务保障工作。</w:t>
      </w:r>
    </w:p>
    <w:p w14:paraId="7BBF16A6">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3、为农村集体经济组织建设、农民专业合作社经济组织、集体资产服务、农村“三资”管理工作提供服务保障。</w:t>
      </w:r>
    </w:p>
    <w:p w14:paraId="265D898C">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4、负责辖区内农村土地承包、农民负担监督、农村集体资产和农村财务、农村合作经济组织、农业产业化经营、农村经济体系建设、农业政策性保险合作、社会化服务体系指导工作、农村经济统计与分析工作、农村经济政策宣传等工作。</w:t>
      </w:r>
    </w:p>
    <w:p w14:paraId="72C6F3FC">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5、负责辖区内林业政策宣传、林业资源管理、组织林业生产、林业科技推广和社会化服务等工作。</w:t>
      </w:r>
    </w:p>
    <w:p w14:paraId="0F3A3962">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6、负责协调辖区内水资源管理、水土保持、水利工程设施服务、农村水利基本建设等涉水事务。</w:t>
      </w:r>
    </w:p>
    <w:p w14:paraId="36CE442E">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7、开展耕地保护特别是基本农田保护，具体实施基本农田划区定界，为农村居民住宅用地及村（社区）公用设施、公用事业建设用地提供服务保障。协助开展本辖区土地资源调查、分等定级、登记、统计、地籍档案管理工作。</w:t>
      </w:r>
    </w:p>
    <w:p w14:paraId="766D6C70">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8、开展辖区内创业服务、就业援助、劳动力资源普查统计等工作，办理就业登记、失业登记、城镇居民基本医疗保险和农村新型养老保险等相关事务。</w:t>
      </w:r>
    </w:p>
    <w:p w14:paraId="0919621A">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9、组织开展本地人口与计划生育宣传教育与技术服务及辖区人口统计、流动人口服务等工作。</w:t>
      </w:r>
    </w:p>
    <w:p w14:paraId="2C5085BC">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10、负责组织开展农村特色文体活动，动员农村群众参与大众健身活动和体育竞赛、指导农村文化活动室、图书室和文化小广场开展活动、管理农村健身设施和器材、保护民间和民族文化遗产等工作。</w:t>
      </w:r>
    </w:p>
    <w:p w14:paraId="0455F211">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11、负责辖区内退役军人信息采集、创业扶持、矛盾化解、政策宣传、权益保障、政策落实等退役军人事务和其他优抚对象服务保障工作。</w:t>
      </w:r>
    </w:p>
    <w:p w14:paraId="0FD0BAD0">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12、负责辖区内突发性动植物、农作物病虫害，重大动物疫病、水旱灾害、森林火灾等应急服务工作。</w:t>
      </w:r>
    </w:p>
    <w:p w14:paraId="0AAC534C">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13、组织实施改善辖区内村庄整洁，村容村貌提升等农业人居环境整治工作，建立长效化管理机制，检查村屯日常保洁、垃圾转运、绿化美化、河道环境治理等工作。</w:t>
      </w:r>
    </w:p>
    <w:p w14:paraId="5256D6B4">
      <w:pPr>
        <w:spacing w:line="576"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14、做好农业、林业、畜牧业、水利等技术人员的管理与培训工作。</w:t>
      </w:r>
    </w:p>
    <w:p w14:paraId="5C42F86E">
      <w:pPr>
        <w:pStyle w:val="10"/>
        <w:widowControl/>
        <w:spacing w:line="620" w:lineRule="exact"/>
        <w:ind w:firstLine="627" w:firstLineChars="196"/>
        <w:contextualSpacing/>
        <w:rPr>
          <w:rFonts w:hint="eastAsia" w:ascii="仿宋" w:hAnsi="仿宋" w:eastAsia="仿宋" w:cs="仿宋"/>
          <w:bCs/>
          <w:sz w:val="32"/>
          <w:szCs w:val="32"/>
          <w:lang w:eastAsia="zh-CN"/>
        </w:rPr>
      </w:pPr>
      <w:r>
        <w:rPr>
          <w:rFonts w:hint="eastAsia" w:ascii="仿宋" w:hAnsi="仿宋" w:eastAsia="仿宋" w:cs="仿宋"/>
          <w:bCs/>
          <w:sz w:val="32"/>
          <w:szCs w:val="32"/>
        </w:rPr>
        <w:t>15、</w:t>
      </w:r>
      <w:r>
        <w:rPr>
          <w:rFonts w:hint="eastAsia" w:ascii="仿宋" w:hAnsi="仿宋" w:eastAsia="仿宋" w:cs="仿宋"/>
          <w:bCs/>
          <w:sz w:val="32"/>
          <w:szCs w:val="32"/>
          <w:lang w:eastAsia="zh-CN"/>
        </w:rPr>
        <w:t>负责行政审批服务窗口具体事务性工作。</w:t>
      </w:r>
    </w:p>
    <w:p w14:paraId="16514B6A">
      <w:pPr>
        <w:pStyle w:val="10"/>
        <w:widowControl/>
        <w:spacing w:line="620" w:lineRule="exact"/>
        <w:ind w:firstLine="627" w:firstLineChars="196"/>
        <w:contextualSpacing/>
        <w:rPr>
          <w:rFonts w:hint="eastAsia" w:ascii="仿宋" w:hAnsi="仿宋" w:eastAsia="仿宋" w:cs="仿宋"/>
          <w:bCs/>
          <w:sz w:val="32"/>
          <w:szCs w:val="32"/>
        </w:rPr>
      </w:pPr>
      <w:bookmarkStart w:id="0" w:name="_GoBack"/>
      <w:bookmarkEnd w:id="0"/>
      <w:r>
        <w:rPr>
          <w:rFonts w:hint="eastAsia" w:ascii="仿宋" w:hAnsi="仿宋" w:eastAsia="仿宋" w:cs="仿宋"/>
          <w:bCs/>
          <w:sz w:val="32"/>
          <w:szCs w:val="32"/>
          <w:lang w:val="en-US" w:eastAsia="zh-CN"/>
        </w:rPr>
        <w:t>16、</w:t>
      </w:r>
      <w:r>
        <w:rPr>
          <w:rFonts w:hint="eastAsia" w:ascii="仿宋" w:hAnsi="仿宋" w:eastAsia="仿宋" w:cs="仿宋"/>
          <w:bCs/>
          <w:sz w:val="32"/>
          <w:szCs w:val="32"/>
        </w:rPr>
        <w:t>完成乡镇党委、政府交办的其他工作任务</w:t>
      </w:r>
    </w:p>
    <w:p w14:paraId="2435027C">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主要业务：思</w:t>
      </w:r>
      <w:r>
        <w:rPr>
          <w:rFonts w:hint="eastAsia" w:ascii="仿宋" w:hAnsi="仿宋" w:eastAsia="仿宋"/>
          <w:kern w:val="0"/>
          <w:sz w:val="32"/>
          <w:szCs w:val="32"/>
          <w:highlight w:val="none"/>
        </w:rPr>
        <w:t>想建设、组织建设、参政议政、社会服务等。</w:t>
      </w:r>
    </w:p>
    <w:p w14:paraId="0AA677CA">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25ADC4C1">
      <w:pPr>
        <w:pStyle w:val="12"/>
        <w:ind w:firstLine="627" w:firstLineChars="196"/>
        <w:rPr>
          <w:rFonts w:ascii="仿宋_GB2312" w:cs="Times New Roman"/>
          <w:kern w:val="0"/>
          <w:highlight w:val="none"/>
        </w:rPr>
      </w:pPr>
      <w:r>
        <w:rPr>
          <w:rFonts w:hint="eastAsia" w:ascii="仿宋" w:hAnsi="仿宋" w:eastAsia="仿宋"/>
          <w:kern w:val="0"/>
          <w:szCs w:val="32"/>
          <w:highlight w:val="none"/>
        </w:rPr>
        <w:t>机构设置包括：机构设置包括：</w:t>
      </w:r>
      <w:r>
        <w:rPr>
          <w:rFonts w:hint="eastAsia" w:ascii="仿宋_GB2312" w:hAnsi="仿宋_GB2312" w:cs="仿宋_GB2312"/>
          <w:kern w:val="0"/>
        </w:rPr>
        <w:t>农业农机站、农经站、畜牧兽医站、水利所、自然资源所、林业站</w:t>
      </w:r>
      <w:r>
        <w:rPr>
          <w:rFonts w:hint="eastAsia" w:ascii="仿宋_GB2312" w:hAnsi="仿宋_GB2312" w:cs="仿宋_GB2312"/>
          <w:kern w:val="0"/>
          <w:lang w:eastAsia="zh-CN"/>
        </w:rPr>
        <w:t>、</w:t>
      </w:r>
      <w:r>
        <w:rPr>
          <w:rFonts w:hint="eastAsia" w:ascii="仿宋_GB2312" w:hAnsi="仿宋_GB2312" w:cs="仿宋_GB2312"/>
          <w:kern w:val="0"/>
        </w:rPr>
        <w:t>文体站、社会保障所（计生站）、</w:t>
      </w:r>
      <w:r>
        <w:rPr>
          <w:rFonts w:hint="eastAsia" w:ascii="仿宋_GB2312" w:hAnsi="仿宋_GB2312" w:cs="仿宋_GB2312"/>
          <w:kern w:val="0"/>
          <w:highlight w:val="none"/>
        </w:rPr>
        <w:t>退役军人服务站、人居环境整治办公室、应急服务站。</w:t>
      </w:r>
    </w:p>
    <w:p w14:paraId="73251D01">
      <w:pPr>
        <w:pStyle w:val="12"/>
        <w:ind w:firstLine="640" w:firstLineChars="200"/>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37</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37</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个。</w:t>
      </w:r>
    </w:p>
    <w:p w14:paraId="14314571">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2D0652A">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148A7064">
      <w:pPr>
        <w:jc w:val="center"/>
        <w:rPr>
          <w:rFonts w:hint="eastAsia" w:ascii="黑体" w:hAnsi="黑体" w:eastAsia="黑体"/>
          <w:sz w:val="32"/>
          <w:szCs w:val="32"/>
          <w:highlight w:val="none"/>
        </w:rPr>
      </w:pPr>
    </w:p>
    <w:p w14:paraId="221BE521">
      <w:pPr>
        <w:jc w:val="center"/>
        <w:rPr>
          <w:rFonts w:hint="eastAsia" w:ascii="黑体" w:hAnsi="黑体" w:eastAsia="黑体"/>
          <w:sz w:val="32"/>
          <w:szCs w:val="32"/>
          <w:highlight w:val="none"/>
        </w:rPr>
      </w:pPr>
    </w:p>
    <w:p w14:paraId="20A4A4D3">
      <w:pPr>
        <w:jc w:val="center"/>
        <w:rPr>
          <w:rFonts w:hint="eastAsia" w:ascii="黑体" w:hAnsi="黑体" w:eastAsia="黑体"/>
          <w:sz w:val="32"/>
          <w:szCs w:val="32"/>
          <w:highlight w:val="none"/>
        </w:rPr>
      </w:pPr>
    </w:p>
    <w:p w14:paraId="58DDC98C">
      <w:pPr>
        <w:jc w:val="center"/>
        <w:rPr>
          <w:rFonts w:hint="eastAsia" w:ascii="黑体" w:hAnsi="黑体" w:eastAsia="黑体"/>
          <w:sz w:val="32"/>
          <w:szCs w:val="32"/>
          <w:highlight w:val="none"/>
        </w:rPr>
      </w:pPr>
    </w:p>
    <w:p w14:paraId="03340633">
      <w:pPr>
        <w:jc w:val="center"/>
        <w:rPr>
          <w:rFonts w:hint="eastAsia" w:ascii="黑体" w:hAnsi="黑体" w:eastAsia="黑体"/>
          <w:sz w:val="32"/>
          <w:szCs w:val="32"/>
          <w:highlight w:val="none"/>
        </w:rPr>
      </w:pPr>
    </w:p>
    <w:p w14:paraId="5377FCFA">
      <w:pPr>
        <w:jc w:val="center"/>
        <w:rPr>
          <w:rFonts w:hint="eastAsia" w:ascii="黑体" w:hAnsi="黑体" w:eastAsia="黑体"/>
          <w:sz w:val="32"/>
          <w:szCs w:val="32"/>
          <w:highlight w:val="none"/>
        </w:rPr>
      </w:pPr>
    </w:p>
    <w:p w14:paraId="6D5094BD">
      <w:pPr>
        <w:jc w:val="center"/>
        <w:rPr>
          <w:rFonts w:hint="eastAsia" w:ascii="黑体" w:hAnsi="黑体" w:eastAsia="黑体"/>
          <w:sz w:val="32"/>
          <w:szCs w:val="32"/>
          <w:highlight w:val="none"/>
        </w:rPr>
      </w:pPr>
    </w:p>
    <w:p w14:paraId="7C27798B">
      <w:pPr>
        <w:jc w:val="center"/>
        <w:rPr>
          <w:rFonts w:hint="eastAsia" w:ascii="黑体" w:hAnsi="黑体" w:eastAsia="黑体"/>
          <w:sz w:val="32"/>
          <w:szCs w:val="32"/>
          <w:highlight w:val="none"/>
        </w:rPr>
      </w:pPr>
    </w:p>
    <w:p w14:paraId="69BDAC49">
      <w:pPr>
        <w:jc w:val="center"/>
        <w:rPr>
          <w:rFonts w:hint="eastAsia" w:ascii="黑体" w:hAnsi="黑体" w:eastAsia="黑体"/>
          <w:sz w:val="32"/>
          <w:szCs w:val="32"/>
          <w:highlight w:val="none"/>
        </w:rPr>
      </w:pPr>
    </w:p>
    <w:p w14:paraId="79D4CE6E">
      <w:pPr>
        <w:jc w:val="center"/>
        <w:rPr>
          <w:rFonts w:hint="eastAsia" w:ascii="黑体" w:hAnsi="黑体" w:eastAsia="黑体"/>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336.72</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330.51</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6.21</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人员增加，</w:t>
      </w:r>
      <w:r>
        <w:rPr>
          <w:rFonts w:hint="eastAsia" w:ascii="仿宋" w:hAnsi="仿宋" w:eastAsia="仿宋"/>
          <w:sz w:val="32"/>
          <w:szCs w:val="32"/>
          <w:lang w:eastAsia="zh-CN"/>
        </w:rPr>
        <w:t>工资福利支出增加，公用经费增加</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336.72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336.72万元，占100%；上年结转0万元，占0%。本年收入中，一般公共预算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336.72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336.72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336.72</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336.72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336.72万元，上年结转0万元。支出包括：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256.42</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36.38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17.27</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26.65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国有资本经营预算支出</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w:t>
      </w:r>
      <w:r>
        <w:rPr>
          <w:rFonts w:hint="eastAsia" w:ascii="仿宋" w:hAnsi="仿宋" w:eastAsia="仿宋"/>
          <w:sz w:val="32"/>
          <w:szCs w:val="32"/>
          <w:highlight w:val="none"/>
          <w:lang w:eastAsia="zh-CN"/>
        </w:rPr>
        <w:t>款</w:t>
      </w:r>
      <w:r>
        <w:rPr>
          <w:rFonts w:hint="eastAsia" w:ascii="仿宋" w:hAnsi="仿宋" w:eastAsia="仿宋"/>
          <w:sz w:val="32"/>
          <w:szCs w:val="32"/>
          <w:highlight w:val="none"/>
          <w:lang w:val="en-US" w:eastAsia="zh-CN"/>
        </w:rPr>
        <w:t>336.72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336.72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314.55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93.42</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22.17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6.58</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256.42万元，占76.15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，主要用于：基本工资、津贴补贴、奖金、绩效工资、</w:t>
      </w:r>
      <w:r>
        <w:rPr>
          <w:rFonts w:hint="eastAsia" w:ascii="仿宋" w:hAnsi="仿宋" w:eastAsia="仿宋"/>
          <w:sz w:val="32"/>
          <w:szCs w:val="32"/>
          <w:highlight w:val="none"/>
        </w:rPr>
        <w:t>生活补助</w:t>
      </w:r>
      <w:r>
        <w:rPr>
          <w:rFonts w:hint="eastAsia" w:ascii="仿宋" w:hAnsi="仿宋" w:eastAsia="仿宋"/>
          <w:sz w:val="32"/>
          <w:szCs w:val="32"/>
          <w:highlight w:val="none"/>
          <w:lang w:eastAsia="zh-CN"/>
        </w:rPr>
        <w:t>、办公费、印刷费、水电费、邮电费、取暖费、旅差费、工会经费、福利费、</w:t>
      </w:r>
      <w:r>
        <w:rPr>
          <w:rFonts w:hint="eastAsia" w:ascii="仿宋" w:hAnsi="仿宋" w:eastAsia="仿宋"/>
          <w:sz w:val="32"/>
          <w:szCs w:val="32"/>
          <w:highlight w:val="none"/>
        </w:rPr>
        <w:t>公务用车运行维护费</w:t>
      </w:r>
      <w:r>
        <w:rPr>
          <w:rFonts w:hint="eastAsia" w:ascii="仿宋" w:hAnsi="仿宋" w:eastAsia="仿宋"/>
          <w:sz w:val="32"/>
          <w:szCs w:val="32"/>
          <w:highlight w:val="none"/>
          <w:lang w:eastAsia="zh-CN"/>
        </w:rPr>
        <w:t>等支出</w:t>
      </w:r>
      <w:r>
        <w:rPr>
          <w:rFonts w:hint="eastAsia" w:ascii="仿宋" w:hAnsi="仿宋" w:eastAsia="仿宋"/>
          <w:sz w:val="32"/>
          <w:szCs w:val="32"/>
          <w:highlight w:val="none"/>
          <w:lang w:val="en-US" w:eastAsia="zh-CN"/>
        </w:rPr>
        <w:t>。</w:t>
      </w:r>
    </w:p>
    <w:p w14:paraId="138CB44B">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社会保障和就业（类）支出36.38万元，占10.8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，主要用于：机关事业单位基本养老保险缴费等工资福利支出</w:t>
      </w:r>
      <w:r>
        <w:rPr>
          <w:rFonts w:hint="eastAsia" w:ascii="仿宋" w:hAnsi="仿宋" w:eastAsia="仿宋"/>
          <w:sz w:val="32"/>
          <w:szCs w:val="32"/>
          <w:highlight w:val="none"/>
          <w:lang w:val="en-US" w:eastAsia="zh-CN"/>
        </w:rPr>
        <w:t>。</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卫生健康（类）支出17.27万元，占5.13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，主要用于：职工基本医疗保险缴费等工资福利支出</w:t>
      </w:r>
      <w:r>
        <w:rPr>
          <w:rFonts w:hint="eastAsia" w:ascii="仿宋" w:hAnsi="仿宋" w:eastAsia="仿宋"/>
          <w:sz w:val="32"/>
          <w:szCs w:val="32"/>
          <w:highlight w:val="none"/>
          <w:lang w:val="en-US" w:eastAsia="zh-CN"/>
        </w:rPr>
        <w:t>。</w:t>
      </w:r>
    </w:p>
    <w:p w14:paraId="63DD0743">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住房保障（类）支出26.65万元，占7.91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，主要用于：住房公积金支出</w:t>
      </w: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2025年一般公共预算基本支出336.72万元，其中：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w:t>
      </w:r>
      <w:r>
        <w:rPr>
          <w:rFonts w:hint="eastAsia" w:ascii="仿宋" w:hAnsi="仿宋" w:eastAsia="仿宋"/>
          <w:sz w:val="32"/>
          <w:szCs w:val="32"/>
          <w:highlight w:val="none"/>
          <w:lang w:eastAsia="zh-CN"/>
        </w:rPr>
        <w:t>费</w:t>
      </w:r>
      <w:r>
        <w:rPr>
          <w:rFonts w:hint="eastAsia" w:ascii="仿宋" w:hAnsi="仿宋" w:eastAsia="仿宋"/>
          <w:sz w:val="32"/>
          <w:szCs w:val="32"/>
          <w:highlight w:val="none"/>
          <w:lang w:val="en-US" w:eastAsia="zh-CN"/>
        </w:rPr>
        <w:t>314.55</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w:t>
      </w:r>
      <w:r>
        <w:rPr>
          <w:rFonts w:hint="eastAsia" w:ascii="仿宋" w:hAnsi="仿宋" w:eastAsia="仿宋"/>
          <w:sz w:val="32"/>
          <w:szCs w:val="32"/>
          <w:highlight w:val="none"/>
          <w:lang w:eastAsia="zh-CN"/>
        </w:rPr>
        <w:t>费</w:t>
      </w:r>
      <w:r>
        <w:rPr>
          <w:rFonts w:hint="eastAsia" w:ascii="仿宋" w:hAnsi="仿宋" w:eastAsia="仿宋"/>
          <w:sz w:val="32"/>
          <w:szCs w:val="32"/>
          <w:highlight w:val="none"/>
          <w:lang w:val="en-US" w:eastAsia="zh-CN"/>
        </w:rPr>
        <w:t>22.17</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年预算数相同。其中，公务用车运行维护费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本单位是全额拨款单位，不是行政及参公单位，所以无机关运行经费。</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,增长/下降0%，主要原因是预算无委托业务费</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w:t>
      </w:r>
      <w:r>
        <w:rPr>
          <w:rFonts w:hint="eastAsia" w:ascii="仿宋" w:hAnsi="仿宋" w:eastAsia="仿宋"/>
          <w:sz w:val="32"/>
          <w:szCs w:val="32"/>
          <w:highlight w:val="none"/>
          <w:lang w:eastAsia="zh-CN"/>
        </w:rPr>
        <w:t>无，</w:t>
      </w:r>
      <w:r>
        <w:rPr>
          <w:rFonts w:hint="eastAsia" w:ascii="仿宋" w:hAnsi="仿宋" w:eastAsia="仿宋"/>
          <w:sz w:val="32"/>
          <w:szCs w:val="32"/>
          <w:highlight w:val="none"/>
        </w:rPr>
        <w:t>主要目标为</w:t>
      </w:r>
      <w:r>
        <w:rPr>
          <w:rFonts w:hint="eastAsia" w:ascii="仿宋" w:hAnsi="仿宋" w:eastAsia="仿宋"/>
          <w:sz w:val="32"/>
          <w:szCs w:val="32"/>
          <w:highlight w:val="none"/>
          <w:lang w:eastAsia="zh-CN"/>
        </w:rPr>
        <w:t>无</w:t>
      </w:r>
      <w:r>
        <w:rPr>
          <w:rFonts w:hint="eastAsia" w:ascii="仿宋" w:hAnsi="仿宋" w:eastAsia="仿宋"/>
          <w:sz w:val="32"/>
          <w:szCs w:val="32"/>
          <w:highlight w:val="none"/>
        </w:rPr>
        <w:t>。同时，将预算项目绩效目标进一步细化为绩效指标和指标值（附预算项目绩效目标申报表）。</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5D696A18">
      <w:pPr>
        <w:jc w:val="center"/>
        <w:rPr>
          <w:rFonts w:hint="eastAsia" w:ascii="仿宋" w:hAnsi="仿宋" w:eastAsia="仿宋"/>
          <w:sz w:val="32"/>
          <w:szCs w:val="32"/>
          <w:highlight w:val="none"/>
        </w:rPr>
      </w:pPr>
    </w:p>
    <w:p w14:paraId="39162F11">
      <w:pPr>
        <w:jc w:val="center"/>
        <w:rPr>
          <w:rFonts w:hint="eastAsia"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C434C1"/>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56200D"/>
    <w:rsid w:val="4AAC7860"/>
    <w:rsid w:val="4B8B339F"/>
    <w:rsid w:val="4D0265B8"/>
    <w:rsid w:val="4D0D4456"/>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9A2859"/>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3A164E"/>
    <w:rsid w:val="659C7B1A"/>
    <w:rsid w:val="65E847CC"/>
    <w:rsid w:val="67286561"/>
    <w:rsid w:val="691F508E"/>
    <w:rsid w:val="6A340295"/>
    <w:rsid w:val="6A5666B8"/>
    <w:rsid w:val="6C626D3D"/>
    <w:rsid w:val="6DF0400D"/>
    <w:rsid w:val="6E5B22F8"/>
    <w:rsid w:val="6EB92B57"/>
    <w:rsid w:val="6F0E4B35"/>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89260CA"/>
    <w:rsid w:val="7A64282A"/>
    <w:rsid w:val="7A8D6ADA"/>
    <w:rsid w:val="7CD763A1"/>
    <w:rsid w:val="7D1A182E"/>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3901</Words>
  <Characters>4183</Characters>
  <Lines>19</Lines>
  <Paragraphs>5</Paragraphs>
  <TotalTime>1</TotalTime>
  <ScaleCrop>false</ScaleCrop>
  <LinksUpToDate>false</LinksUpToDate>
  <CharactersWithSpaces>4276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2025-01-16T01:15:08Z</cp:lastPrinted>
  <dcterms:modified xsi:type="dcterms:W3CDTF">2025-01-16T01:15:20Z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eyJoZGlkIjoiYzlhODA3Y2NiNzkwZmUxYjQzMWYyYmRiNDFkZjM1NDEifQ==</vt:lpwstr>
  </property>
</Properties>
</file>