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蛟河市融媒体中心2025年部门预算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二〇二五年一月二十二日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蛟河市融媒体中心</w:t>
      </w: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163654F6">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名称：蛟河市融媒体中心（蛟河广播电视台）</w:t>
      </w:r>
    </w:p>
    <w:p w14:paraId="46056E5F">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成立时间：2019年</w:t>
      </w:r>
    </w:p>
    <w:p w14:paraId="6CA8BF62">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：蛟河市融媒体中心为市政府直属公益一类事业单位，经费渠道全额拨款，归口中共蛟河市委宣传部领导。</w:t>
      </w:r>
    </w:p>
    <w:p w14:paraId="579D6C48">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p>
    <w:p w14:paraId="6BF01BDC">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贯彻执行党的新闻宣传、广播电视文化工作的路线方针政策，坚持正确的舆论导向，开展积极的舆论监督，充分发挥好党的新闻舆论工作重要阵地作用。</w:t>
      </w:r>
    </w:p>
    <w:p w14:paraId="6430C6F4">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坚持团结稳定鼓劲、正面宣传为主的基本方针，为全市经济社会发展提供舆论支持。</w:t>
      </w:r>
    </w:p>
    <w:p w14:paraId="2E0D9797">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围绕党委、政府的中心工作开展新闻宣传工作。</w:t>
      </w:r>
    </w:p>
    <w:p w14:paraId="23898775">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负责新闻发布、政务服务、理论宣传、舆论监督、生活咨询、交流互动等新型综合媒体工作。</w:t>
      </w:r>
    </w:p>
    <w:p w14:paraId="3717AC42">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依法依规进行全媒体内容采集、生产，多平台集成、发布、运营，多网络传输、分发通过传播新闻信息，提供生活资讯和积极健康的娱乐节目等，满足人民群众的精神文化需求。</w:t>
      </w:r>
    </w:p>
    <w:p w14:paraId="2E6BF792">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负责安全传输中央、省、市和地方广播电视无线节目工作。</w:t>
      </w:r>
    </w:p>
    <w:p w14:paraId="581CAED8">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完成市委、市政府交办的其他工作任务。</w:t>
      </w:r>
    </w:p>
    <w:p w14:paraId="58D410AC">
      <w:pPr>
        <w:pStyle w:val="10"/>
        <w:widowControl/>
        <w:spacing w:line="620" w:lineRule="exact"/>
        <w:ind w:firstLine="640" w:firstLineChars="200"/>
        <w:contextualSpacing/>
        <w:rPr>
          <w:rFonts w:ascii="仿宋_GB2312" w:hAnsi="仿宋_GB2312" w:eastAsia="仿宋_GB2312"/>
          <w:kern w:val="0"/>
          <w:sz w:val="32"/>
          <w:szCs w:val="32"/>
        </w:rPr>
      </w:pPr>
      <w:r>
        <w:rPr>
          <w:rFonts w:hint="eastAsia" w:ascii="仿宋" w:hAnsi="仿宋" w:eastAsia="仿宋"/>
          <w:bCs/>
          <w:kern w:val="0"/>
          <w:sz w:val="32"/>
          <w:szCs w:val="32"/>
        </w:rPr>
        <w:t>主要业务：</w:t>
      </w:r>
      <w:r>
        <w:rPr>
          <w:rFonts w:hint="eastAsia" w:ascii="仿宋_GB2312" w:hAnsi="仿宋_GB2312" w:eastAsia="仿宋_GB2312"/>
          <w:bCs/>
          <w:kern w:val="0"/>
          <w:sz w:val="32"/>
          <w:szCs w:val="32"/>
        </w:rPr>
        <w:t>舆论监督、新闻宣传、依法依规制作播出广播电视节目、传播新闻信息、提供生活咨询和积极健康的娱乐节目和广告业务。</w:t>
      </w:r>
    </w:p>
    <w:p w14:paraId="4D183E8D">
      <w:pPr>
        <w:jc w:val="left"/>
        <w:rPr>
          <w:rFonts w:ascii="仿宋" w:hAnsi="仿宋" w:eastAsia="仿宋"/>
          <w:sz w:val="32"/>
          <w:szCs w:val="32"/>
        </w:rPr>
      </w:pPr>
      <w:r>
        <w:rPr>
          <w:rFonts w:hint="eastAsia" w:ascii="仿宋" w:hAnsi="仿宋" w:eastAsia="仿宋"/>
          <w:sz w:val="32"/>
          <w:szCs w:val="32"/>
        </w:rPr>
        <w:t>二、机构设置</w:t>
      </w:r>
    </w:p>
    <w:p w14:paraId="00D3D572">
      <w:pPr>
        <w:ind w:firstLine="640" w:firstLineChars="200"/>
        <w:rPr>
          <w:rFonts w:ascii="仿宋" w:hAnsi="仿宋" w:eastAsia="仿宋"/>
          <w:sz w:val="32"/>
        </w:rPr>
      </w:pPr>
      <w:r>
        <w:rPr>
          <w:rFonts w:hint="eastAsia" w:ascii="仿宋" w:hAnsi="仿宋" w:eastAsia="仿宋"/>
          <w:kern w:val="0"/>
          <w:sz w:val="32"/>
          <w:szCs w:val="32"/>
        </w:rPr>
        <w:t>机构设置包括：</w:t>
      </w:r>
      <w:r>
        <w:rPr>
          <w:rFonts w:hint="eastAsia" w:ascii="仿宋" w:hAnsi="仿宋" w:eastAsia="仿宋"/>
          <w:sz w:val="32"/>
          <w:szCs w:val="30"/>
        </w:rPr>
        <w:t>蛟河市融媒体中心</w:t>
      </w:r>
      <w:r>
        <w:rPr>
          <w:rFonts w:hint="eastAsia" w:ascii="仿宋" w:hAnsi="仿宋" w:eastAsia="仿宋"/>
          <w:sz w:val="32"/>
        </w:rPr>
        <w:t>内设</w:t>
      </w:r>
      <w:r>
        <w:rPr>
          <w:rFonts w:hint="eastAsia" w:ascii="仿宋" w:hAnsi="仿宋" w:eastAsia="仿宋"/>
          <w:sz w:val="32"/>
          <w:szCs w:val="30"/>
        </w:rPr>
        <w:t>1</w:t>
      </w:r>
      <w:r>
        <w:rPr>
          <w:rFonts w:hint="eastAsia" w:ascii="仿宋" w:hAnsi="仿宋" w:eastAsia="仿宋"/>
          <w:sz w:val="32"/>
        </w:rPr>
        <w:t>个机构，20个职能科（室、部）分别为办公室、党建办公室、财务和人事科、总编办公室（指挥调度中心）、技术办公室、设备管理科、新闻采集部、电视节目专题部、大型节目活动部、电视节目社教部、电视节目制作部、广告监管部、播控中心、政务服务部、蛟河人民广播电台新闻部、蛟河人民广播电台专题部、蛟河人民广播电台播音部、广播电视发射台、中波发射台、微波站。</w:t>
      </w:r>
    </w:p>
    <w:p w14:paraId="685CEB5D">
      <w:pPr>
        <w:pStyle w:val="12"/>
        <w:ind w:firstLine="627" w:firstLineChars="196"/>
        <w:rPr>
          <w:rFonts w:ascii="仿宋" w:hAnsi="仿宋" w:eastAsia="仿宋"/>
          <w:kern w:val="0"/>
          <w:szCs w:val="32"/>
          <w:highlight w:val="none"/>
        </w:rPr>
      </w:pPr>
      <w:r>
        <w:rPr>
          <w:rFonts w:hint="eastAsia" w:ascii="仿宋" w:hAnsi="仿宋" w:eastAsia="仿宋"/>
          <w:sz w:val="32"/>
        </w:rPr>
        <w:t>人员情况：在职人员</w:t>
      </w:r>
      <w:r>
        <w:rPr>
          <w:rFonts w:ascii="仿宋" w:hAnsi="仿宋" w:eastAsia="仿宋"/>
          <w:sz w:val="32"/>
        </w:rPr>
        <w:t>9</w:t>
      </w:r>
      <w:r>
        <w:rPr>
          <w:rFonts w:hint="eastAsia" w:ascii="仿宋" w:hAnsi="仿宋" w:eastAsia="仿宋"/>
          <w:sz w:val="32"/>
          <w:lang w:val="en-US" w:eastAsia="zh-CN"/>
        </w:rPr>
        <w:t>9</w:t>
      </w:r>
      <w:r>
        <w:rPr>
          <w:rFonts w:hint="eastAsia" w:ascii="仿宋" w:hAnsi="仿宋" w:eastAsia="仿宋"/>
          <w:sz w:val="32"/>
        </w:rPr>
        <w:t>人，编制数120人，领导职数4个，内设机构领导职位数33名。</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15744BF6">
      <w:pPr>
        <w:jc w:val="left"/>
        <w:rPr>
          <w:rFonts w:ascii="仿宋" w:hAnsi="仿宋" w:eastAsia="仿宋"/>
          <w:sz w:val="32"/>
          <w:szCs w:val="32"/>
          <w:highlight w:val="none"/>
        </w:rPr>
      </w:pPr>
    </w:p>
    <w:p w14:paraId="5D333E91">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1109.18</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ascii="仿宋" w:hAnsi="仿宋" w:eastAsia="仿宋"/>
          <w:sz w:val="32"/>
          <w:szCs w:val="32"/>
        </w:rPr>
        <w:t>1182.42</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减少73.24</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：2024年度有中小企业化债支出，2025年没有</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1149.18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1109.18万元，占96.52%；上年结转40万元，占3.48%。本年收入中，一般公共预算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1109.18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1149.18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1149.18</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1149.18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1109.18万元，上年结转40万元。支出包括：</w:t>
      </w:r>
      <w:r>
        <w:rPr>
          <w:rFonts w:hint="eastAsia" w:ascii="仿宋" w:hAnsi="仿宋" w:eastAsia="仿宋"/>
          <w:sz w:val="32"/>
          <w:szCs w:val="32"/>
        </w:rPr>
        <w:t>文化旅游体育与传媒支出</w:t>
      </w:r>
      <w:r>
        <w:rPr>
          <w:rFonts w:hint="eastAsia" w:ascii="仿宋" w:hAnsi="仿宋" w:eastAsia="仿宋"/>
          <w:sz w:val="32"/>
          <w:szCs w:val="32"/>
          <w:lang w:val="en-US" w:eastAsia="zh-CN"/>
        </w:rPr>
        <w:t>876.72</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123.54</w:t>
      </w:r>
      <w:r>
        <w:rPr>
          <w:rFonts w:hint="eastAsia" w:ascii="仿宋" w:hAnsi="仿宋" w:eastAsia="仿宋"/>
          <w:sz w:val="32"/>
          <w:szCs w:val="32"/>
        </w:rPr>
        <w:t>万元，卫生健康支出</w:t>
      </w:r>
      <w:r>
        <w:rPr>
          <w:rFonts w:hint="eastAsia" w:ascii="仿宋" w:hAnsi="仿宋" w:eastAsia="仿宋"/>
          <w:sz w:val="32"/>
          <w:szCs w:val="32"/>
          <w:lang w:val="en-US" w:eastAsia="zh-CN"/>
        </w:rPr>
        <w:t>58.71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90.21</w:t>
      </w:r>
      <w:r>
        <w:rPr>
          <w:rFonts w:hint="eastAsia" w:ascii="仿宋" w:hAnsi="仿宋" w:eastAsia="仿宋"/>
          <w:sz w:val="32"/>
          <w:szCs w:val="32"/>
        </w:rPr>
        <w:t>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1109.18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1109.18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1041.63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67.55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6.09</w:t>
      </w:r>
      <w:r>
        <w:rPr>
          <w:rFonts w:hint="eastAsia" w:ascii="仿宋" w:hAnsi="仿宋" w:eastAsia="仿宋"/>
          <w:sz w:val="32"/>
          <w:szCs w:val="32"/>
          <w:highlight w:val="none"/>
        </w:rPr>
        <w:t>%。</w:t>
      </w:r>
    </w:p>
    <w:p w14:paraId="4A61D22E">
      <w:pPr>
        <w:ind w:firstLine="640" w:firstLineChars="200"/>
        <w:rPr>
          <w:rFonts w:ascii="仿宋" w:hAnsi="仿宋" w:eastAsia="仿宋"/>
          <w:sz w:val="32"/>
          <w:szCs w:val="32"/>
        </w:rPr>
      </w:pPr>
      <w:r>
        <w:rPr>
          <w:rFonts w:hint="eastAsia" w:ascii="仿宋" w:hAnsi="仿宋" w:eastAsia="仿宋"/>
          <w:sz w:val="32"/>
          <w:szCs w:val="32"/>
        </w:rPr>
        <w:t>文化旅游体育与传媒（类）支出</w:t>
      </w:r>
      <w:r>
        <w:rPr>
          <w:rFonts w:hint="eastAsia" w:ascii="仿宋" w:hAnsi="仿宋" w:eastAsia="仿宋"/>
          <w:sz w:val="32"/>
          <w:szCs w:val="32"/>
          <w:lang w:val="en-US" w:eastAsia="zh-CN"/>
        </w:rPr>
        <w:t>836.72</w:t>
      </w:r>
      <w:r>
        <w:rPr>
          <w:rFonts w:hint="eastAsia" w:ascii="仿宋" w:hAnsi="仿宋" w:eastAsia="仿宋"/>
          <w:sz w:val="32"/>
          <w:szCs w:val="32"/>
        </w:rPr>
        <w:t>万元，占</w:t>
      </w:r>
      <w:r>
        <w:rPr>
          <w:rFonts w:hint="eastAsia" w:ascii="仿宋" w:hAnsi="仿宋" w:eastAsia="仿宋"/>
          <w:sz w:val="32"/>
          <w:szCs w:val="32"/>
          <w:lang w:val="en-US" w:eastAsia="zh-CN"/>
        </w:rPr>
        <w:t>70.03</w:t>
      </w:r>
      <w:r>
        <w:rPr>
          <w:rFonts w:hint="eastAsia" w:ascii="仿宋" w:hAnsi="仿宋" w:eastAsia="仿宋"/>
          <w:sz w:val="32"/>
          <w:szCs w:val="32"/>
        </w:rPr>
        <w:t>%，主要用于：单位在职人员工资发放以及各类公用经费支出。</w:t>
      </w:r>
    </w:p>
    <w:p w14:paraId="2F46D27D">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58.71</w:t>
      </w:r>
      <w:r>
        <w:rPr>
          <w:rFonts w:hint="eastAsia" w:ascii="仿宋" w:hAnsi="仿宋" w:eastAsia="仿宋"/>
          <w:sz w:val="32"/>
          <w:szCs w:val="32"/>
        </w:rPr>
        <w:t>万元，占</w:t>
      </w:r>
      <w:r>
        <w:rPr>
          <w:rFonts w:hint="eastAsia" w:ascii="仿宋" w:hAnsi="仿宋" w:eastAsia="仿宋"/>
          <w:sz w:val="32"/>
          <w:szCs w:val="32"/>
          <w:lang w:val="en-US" w:eastAsia="zh-CN"/>
        </w:rPr>
        <w:t>5.29</w:t>
      </w:r>
      <w:r>
        <w:rPr>
          <w:rFonts w:hint="eastAsia" w:ascii="仿宋" w:hAnsi="仿宋" w:eastAsia="仿宋"/>
          <w:sz w:val="32"/>
          <w:szCs w:val="32"/>
        </w:rPr>
        <w:t>%，主要用于：在职人员财政承担部分医疗保险费用。</w:t>
      </w:r>
    </w:p>
    <w:p w14:paraId="76889C8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123.54</w:t>
      </w:r>
      <w:r>
        <w:rPr>
          <w:rFonts w:hint="eastAsia" w:ascii="仿宋" w:hAnsi="仿宋" w:eastAsia="仿宋"/>
          <w:sz w:val="32"/>
          <w:szCs w:val="32"/>
        </w:rPr>
        <w:t>万元，占</w:t>
      </w:r>
      <w:r>
        <w:rPr>
          <w:rFonts w:hint="eastAsia" w:ascii="仿宋" w:hAnsi="仿宋" w:eastAsia="仿宋"/>
          <w:sz w:val="32"/>
          <w:szCs w:val="32"/>
          <w:lang w:val="en-US" w:eastAsia="zh-CN"/>
        </w:rPr>
        <w:t>11.14</w:t>
      </w:r>
      <w:r>
        <w:rPr>
          <w:rFonts w:hint="eastAsia" w:ascii="仿宋" w:hAnsi="仿宋" w:eastAsia="仿宋"/>
          <w:sz w:val="32"/>
          <w:szCs w:val="32"/>
        </w:rPr>
        <w:t>%，主要用于在职人员财政承担部分各类社保费用。</w:t>
      </w:r>
    </w:p>
    <w:p w14:paraId="05654378">
      <w:pPr>
        <w:pStyle w:val="9"/>
        <w:ind w:firstLine="640" w:firstLineChars="200"/>
        <w:rPr>
          <w:rFonts w:hint="eastAsia" w:ascii="仿宋" w:hAnsi="仿宋" w:eastAsia="仿宋"/>
          <w:sz w:val="32"/>
          <w:szCs w:val="32"/>
        </w:rPr>
      </w:pPr>
      <w:r>
        <w:rPr>
          <w:rFonts w:hint="eastAsia" w:ascii="仿宋" w:hAnsi="仿宋" w:eastAsia="仿宋"/>
          <w:sz w:val="32"/>
          <w:szCs w:val="32"/>
        </w:rPr>
        <w:t>住房保障支出</w:t>
      </w:r>
      <w:r>
        <w:rPr>
          <w:rFonts w:hint="eastAsia" w:ascii="仿宋" w:hAnsi="仿宋" w:eastAsia="仿宋"/>
          <w:sz w:val="32"/>
          <w:szCs w:val="32"/>
          <w:lang w:val="en-US" w:eastAsia="zh-CN"/>
        </w:rPr>
        <w:t>90.21</w:t>
      </w:r>
      <w:r>
        <w:rPr>
          <w:rFonts w:hint="eastAsia" w:ascii="仿宋" w:hAnsi="仿宋" w:eastAsia="仿宋"/>
          <w:sz w:val="32"/>
          <w:szCs w:val="32"/>
        </w:rPr>
        <w:t>万元，占</w:t>
      </w:r>
      <w:r>
        <w:rPr>
          <w:rFonts w:hint="eastAsia" w:ascii="仿宋" w:hAnsi="仿宋" w:eastAsia="仿宋"/>
          <w:sz w:val="32"/>
          <w:szCs w:val="32"/>
          <w:lang w:val="en-US" w:eastAsia="zh-CN"/>
        </w:rPr>
        <w:t>8.13</w:t>
      </w:r>
      <w:r>
        <w:rPr>
          <w:rFonts w:hint="eastAsia" w:ascii="仿宋" w:hAnsi="仿宋" w:eastAsia="仿宋"/>
          <w:sz w:val="32"/>
          <w:szCs w:val="32"/>
        </w:rPr>
        <w:t>%，主用于：在职人员 财政承担部分公积金费用。</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2025年一般公共预算基本支出1109.18万元，其中：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1041.63</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67.55</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14</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rPr>
        <w:t xml:space="preserve">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lang w:eastAsia="zh-CN"/>
        </w:rPr>
        <w:t>。</w:t>
      </w:r>
    </w:p>
    <w:p w14:paraId="78C2E709">
      <w:pPr>
        <w:pStyle w:val="9"/>
        <w:ind w:firstLine="640" w:firstLineChars="200"/>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12.5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。其中，公务用车运行维护费</w:t>
      </w:r>
      <w:r>
        <w:rPr>
          <w:rFonts w:hint="eastAsia" w:ascii="仿宋" w:hAnsi="仿宋" w:eastAsia="仿宋"/>
          <w:kern w:val="0"/>
          <w:sz w:val="32"/>
          <w:szCs w:val="32"/>
          <w:highlight w:val="none"/>
          <w:lang w:val="en-US" w:eastAsia="zh-CN"/>
        </w:rPr>
        <w:t>12.5</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lang w:eastAsia="zh-CN"/>
        </w:rPr>
        <w:t>。</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B8D2CC8">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50CA09B">
      <w:pPr>
        <w:ind w:firstLine="640" w:firstLineChars="200"/>
        <w:jc w:val="left"/>
        <w:rPr>
          <w:rFonts w:ascii="仿宋" w:hAnsi="仿宋" w:eastAsia="仿宋"/>
          <w:sz w:val="32"/>
          <w:szCs w:val="32"/>
        </w:rPr>
      </w:pPr>
      <w:r>
        <w:rPr>
          <w:rFonts w:hint="eastAsia" w:ascii="仿宋" w:hAnsi="仿宋" w:eastAsia="仿宋"/>
          <w:sz w:val="32"/>
          <w:szCs w:val="32"/>
        </w:rPr>
        <w:t>本单位为事业单位，无机关运行经费支出。</w:t>
      </w:r>
    </w:p>
    <w:p w14:paraId="620B69A9">
      <w:pPr>
        <w:pStyle w:val="8"/>
        <w:ind w:firstLine="640"/>
        <w:rPr>
          <w:rFonts w:ascii="仿宋" w:hAnsi="仿宋" w:eastAsia="仿宋"/>
          <w:sz w:val="32"/>
          <w:szCs w:val="32"/>
        </w:rPr>
      </w:pPr>
      <w:r>
        <w:rPr>
          <w:rFonts w:hint="eastAsia" w:ascii="楷体" w:hAnsi="楷体" w:eastAsia="楷体" w:cs="楷体"/>
          <w:sz w:val="32"/>
          <w:szCs w:val="32"/>
        </w:rPr>
        <w:t>（二）委托业务费</w:t>
      </w:r>
    </w:p>
    <w:p w14:paraId="1BFBF9AE">
      <w:pPr>
        <w:pStyle w:val="8"/>
        <w:ind w:firstLine="0" w:firstLineChars="0"/>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kern w:val="0"/>
          <w:sz w:val="32"/>
          <w:szCs w:val="32"/>
        </w:rPr>
        <w:t>2024年委托业务费预算数</w:t>
      </w:r>
      <w:r>
        <w:rPr>
          <w:rFonts w:ascii="仿宋" w:hAnsi="仿宋" w:eastAsia="仿宋"/>
          <w:kern w:val="0"/>
          <w:sz w:val="32"/>
          <w:szCs w:val="32"/>
        </w:rPr>
        <w:t>0</w:t>
      </w:r>
      <w:r>
        <w:rPr>
          <w:rFonts w:hint="eastAsia" w:ascii="仿宋" w:hAnsi="仿宋" w:eastAsia="仿宋"/>
          <w:kern w:val="0"/>
          <w:sz w:val="32"/>
          <w:szCs w:val="32"/>
        </w:rPr>
        <w:t>万元。</w:t>
      </w:r>
    </w:p>
    <w:p w14:paraId="2EBC7324">
      <w:pPr>
        <w:ind w:firstLine="640" w:firstLineChars="200"/>
        <w:jc w:val="left"/>
        <w:rPr>
          <w:rFonts w:ascii="楷体" w:hAnsi="楷体" w:eastAsia="楷体"/>
          <w:sz w:val="32"/>
          <w:szCs w:val="32"/>
        </w:rPr>
      </w:pPr>
      <w:r>
        <w:rPr>
          <w:rFonts w:hint="eastAsia" w:ascii="楷体" w:hAnsi="楷体" w:eastAsia="楷体"/>
          <w:sz w:val="32"/>
          <w:szCs w:val="32"/>
        </w:rPr>
        <w:t>（三）政府采购情况</w:t>
      </w:r>
    </w:p>
    <w:p w14:paraId="7B85DB7D">
      <w:pPr>
        <w:ind w:firstLine="640" w:firstLineChars="200"/>
        <w:jc w:val="left"/>
        <w:rPr>
          <w:rFonts w:ascii="仿宋" w:hAnsi="仿宋" w:eastAsia="仿宋"/>
          <w:sz w:val="32"/>
          <w:szCs w:val="32"/>
        </w:rPr>
      </w:pPr>
      <w:r>
        <w:rPr>
          <w:rFonts w:hint="eastAsia" w:ascii="仿宋" w:hAnsi="仿宋" w:eastAsia="仿宋"/>
          <w:sz w:val="32"/>
          <w:szCs w:val="32"/>
        </w:rPr>
        <w:t>2024年政府采购预算总额</w:t>
      </w:r>
      <w:r>
        <w:rPr>
          <w:rFonts w:ascii="仿宋" w:hAnsi="仿宋" w:eastAsia="仿宋"/>
          <w:sz w:val="32"/>
          <w:szCs w:val="32"/>
        </w:rPr>
        <w:t>0</w:t>
      </w:r>
      <w:r>
        <w:rPr>
          <w:rFonts w:hint="eastAsia" w:ascii="仿宋" w:hAnsi="仿宋" w:eastAsia="仿宋"/>
          <w:sz w:val="32"/>
          <w:szCs w:val="32"/>
        </w:rPr>
        <w:t>万元。</w:t>
      </w:r>
    </w:p>
    <w:p w14:paraId="7980F7E1">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（四）国有资产占有使用情况</w:t>
      </w:r>
    </w:p>
    <w:p w14:paraId="16FB3E81">
      <w:pPr>
        <w:pStyle w:val="8"/>
        <w:ind w:firstLine="640"/>
        <w:jc w:val="left"/>
        <w:rPr>
          <w:rFonts w:ascii="仿宋" w:hAnsi="仿宋" w:eastAsia="仿宋"/>
          <w:sz w:val="32"/>
          <w:szCs w:val="32"/>
        </w:rPr>
      </w:pPr>
      <w:r>
        <w:rPr>
          <w:rFonts w:hint="eastAsia" w:ascii="仿宋" w:hAnsi="仿宋" w:eastAsia="仿宋"/>
          <w:sz w:val="32"/>
          <w:szCs w:val="32"/>
        </w:rPr>
        <w:t>截至202</w:t>
      </w:r>
      <w:r>
        <w:rPr>
          <w:rFonts w:hint="eastAsia" w:ascii="仿宋" w:hAnsi="仿宋" w:eastAsia="仿宋"/>
          <w:sz w:val="32"/>
          <w:szCs w:val="32"/>
          <w:lang w:val="en-US" w:eastAsia="zh-CN"/>
        </w:rPr>
        <w:t>4</w:t>
      </w:r>
      <w:r>
        <w:rPr>
          <w:rFonts w:hint="eastAsia" w:ascii="仿宋" w:hAnsi="仿宋" w:eastAsia="仿宋"/>
          <w:sz w:val="32"/>
          <w:szCs w:val="32"/>
        </w:rPr>
        <w:t>年12月，部门本级和所属各预算单位共有车辆</w:t>
      </w:r>
      <w:r>
        <w:rPr>
          <w:rFonts w:hint="eastAsia" w:ascii="仿宋" w:hAnsi="仿宋" w:eastAsia="仿宋"/>
          <w:sz w:val="32"/>
          <w:szCs w:val="32"/>
          <w:lang w:val="en-US" w:eastAsia="zh-CN"/>
        </w:rPr>
        <w:t>4</w:t>
      </w:r>
      <w:r>
        <w:rPr>
          <w:rFonts w:hint="eastAsia" w:ascii="仿宋" w:hAnsi="仿宋" w:eastAsia="仿宋"/>
          <w:sz w:val="32"/>
          <w:szCs w:val="32"/>
        </w:rPr>
        <w:t>辆，其中，领导干部用车0辆、一般公务用车</w:t>
      </w:r>
      <w:r>
        <w:rPr>
          <w:rFonts w:hint="eastAsia" w:ascii="仿宋" w:hAnsi="仿宋" w:eastAsia="仿宋"/>
          <w:sz w:val="32"/>
          <w:szCs w:val="32"/>
          <w:lang w:val="en-US" w:eastAsia="zh-CN"/>
        </w:rPr>
        <w:t>3</w:t>
      </w:r>
      <w:r>
        <w:rPr>
          <w:rFonts w:hint="eastAsia" w:ascii="仿宋" w:hAnsi="仿宋" w:eastAsia="仿宋"/>
          <w:sz w:val="32"/>
          <w:szCs w:val="32"/>
        </w:rPr>
        <w:t>辆,一般执法执勤用车</w:t>
      </w:r>
      <w:r>
        <w:rPr>
          <w:rFonts w:ascii="仿宋" w:hAnsi="仿宋" w:eastAsia="仿宋"/>
          <w:sz w:val="32"/>
          <w:szCs w:val="32"/>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1</w:t>
      </w:r>
      <w:r>
        <w:rPr>
          <w:rFonts w:hint="eastAsia" w:ascii="仿宋" w:hAnsi="仿宋" w:eastAsia="仿宋"/>
          <w:sz w:val="32"/>
          <w:szCs w:val="32"/>
        </w:rPr>
        <w:t>辆、其他用车0辆，价值200万元以上大型设备</w:t>
      </w:r>
      <w:r>
        <w:rPr>
          <w:rFonts w:hint="eastAsia" w:ascii="仿宋" w:hAnsi="仿宋" w:eastAsia="仿宋"/>
          <w:sz w:val="32"/>
          <w:szCs w:val="32"/>
          <w:lang w:val="en-US" w:eastAsia="zh-CN"/>
        </w:rPr>
        <w:t>1</w:t>
      </w:r>
      <w:r>
        <w:rPr>
          <w:rFonts w:hint="eastAsia" w:ascii="仿宋" w:hAnsi="仿宋" w:eastAsia="仿宋"/>
          <w:sz w:val="32"/>
          <w:szCs w:val="32"/>
        </w:rPr>
        <w:t>台（套）。</w:t>
      </w:r>
    </w:p>
    <w:p w14:paraId="3F0F593D">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 0万元。</w:t>
      </w:r>
    </w:p>
    <w:p w14:paraId="5CF9A999">
      <w:pPr>
        <w:ind w:firstLine="640" w:firstLineChars="200"/>
        <w:jc w:val="left"/>
        <w:rPr>
          <w:rFonts w:ascii="楷体" w:hAnsi="楷体" w:eastAsia="楷体"/>
          <w:sz w:val="32"/>
          <w:szCs w:val="32"/>
        </w:rPr>
      </w:pPr>
      <w:r>
        <w:rPr>
          <w:rFonts w:hint="eastAsia" w:ascii="楷体" w:hAnsi="楷体" w:eastAsia="楷体"/>
          <w:sz w:val="32"/>
          <w:szCs w:val="32"/>
        </w:rPr>
        <w:t>（五）预算项目绩效目标管理情况</w:t>
      </w:r>
    </w:p>
    <w:p w14:paraId="1386E49E">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年确定</w:t>
      </w:r>
      <w:r>
        <w:rPr>
          <w:rFonts w:hint="eastAsia" w:ascii="仿宋" w:hAnsi="仿宋" w:eastAsia="仿宋"/>
          <w:sz w:val="32"/>
          <w:szCs w:val="32"/>
          <w:lang w:val="en-US" w:eastAsia="zh-CN"/>
        </w:rPr>
        <w:t>0</w:t>
      </w:r>
      <w:r>
        <w:rPr>
          <w:rFonts w:hint="eastAsia" w:ascii="仿宋" w:hAnsi="仿宋" w:eastAsia="仿宋"/>
          <w:sz w:val="32"/>
          <w:szCs w:val="32"/>
        </w:rPr>
        <w:t>个部门本级预算项目。</w:t>
      </w:r>
      <w:bookmarkStart w:id="0" w:name="_GoBack"/>
      <w:bookmarkEnd w:id="0"/>
    </w:p>
    <w:p w14:paraId="298F0DFF">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1C97E0CF">
      <w:pPr>
        <w:jc w:val="center"/>
        <w:rPr>
          <w:rFonts w:hint="eastAsia" w:ascii="黑体" w:hAnsi="黑体" w:eastAsia="黑体"/>
          <w:sz w:val="32"/>
          <w:szCs w:val="32"/>
          <w:highlight w:val="none"/>
        </w:rPr>
      </w:pPr>
    </w:p>
    <w:p w14:paraId="17503E3E">
      <w:pPr>
        <w:jc w:val="center"/>
        <w:rPr>
          <w:rFonts w:hint="eastAsia" w:ascii="黑体" w:hAnsi="黑体" w:eastAsia="黑体"/>
          <w:sz w:val="32"/>
          <w:szCs w:val="32"/>
          <w:highlight w:val="none"/>
        </w:rPr>
      </w:pPr>
    </w:p>
    <w:p w14:paraId="57CD8BB5">
      <w:pPr>
        <w:jc w:val="center"/>
        <w:rPr>
          <w:rFonts w:hint="eastAsia" w:ascii="黑体" w:hAnsi="黑体" w:eastAsia="黑体"/>
          <w:sz w:val="32"/>
          <w:szCs w:val="32"/>
          <w:highlight w:val="none"/>
        </w:rPr>
      </w:pPr>
    </w:p>
    <w:p w14:paraId="7CDDA715">
      <w:pPr>
        <w:jc w:val="center"/>
        <w:rPr>
          <w:rFonts w:hint="eastAsia" w:ascii="黑体" w:hAnsi="黑体" w:eastAsia="黑体"/>
          <w:sz w:val="32"/>
          <w:szCs w:val="32"/>
          <w:highlight w:val="none"/>
        </w:rPr>
      </w:pPr>
    </w:p>
    <w:p w14:paraId="6F5B99D9">
      <w:pPr>
        <w:jc w:val="center"/>
        <w:rPr>
          <w:rFonts w:hint="eastAsia" w:ascii="黑体" w:hAnsi="黑体" w:eastAsia="黑体"/>
          <w:sz w:val="32"/>
          <w:szCs w:val="32"/>
          <w:highlight w:val="none"/>
        </w:rPr>
      </w:pPr>
    </w:p>
    <w:p w14:paraId="7FBF76D6">
      <w:pPr>
        <w:jc w:val="center"/>
        <w:rPr>
          <w:rFonts w:hint="eastAsia" w:ascii="黑体" w:hAnsi="黑体" w:eastAsia="黑体"/>
          <w:sz w:val="32"/>
          <w:szCs w:val="32"/>
          <w:highlight w:val="none"/>
        </w:rPr>
      </w:pPr>
    </w:p>
    <w:p w14:paraId="62C15207">
      <w:pPr>
        <w:jc w:val="center"/>
        <w:rPr>
          <w:rFonts w:hint="eastAsia" w:ascii="黑体" w:hAnsi="黑体" w:eastAsia="黑体"/>
          <w:sz w:val="32"/>
          <w:szCs w:val="32"/>
          <w:highlight w:val="none"/>
        </w:rPr>
      </w:pPr>
    </w:p>
    <w:p w14:paraId="613637EF">
      <w:pPr>
        <w:jc w:val="center"/>
        <w:rPr>
          <w:rFonts w:hint="eastAsia" w:ascii="黑体" w:hAnsi="黑体" w:eastAsia="黑体"/>
          <w:sz w:val="32"/>
          <w:szCs w:val="32"/>
          <w:highlight w:val="none"/>
        </w:rPr>
      </w:pPr>
    </w:p>
    <w:p w14:paraId="108E860A">
      <w:pPr>
        <w:jc w:val="center"/>
        <w:rPr>
          <w:rFonts w:hint="eastAsia" w:ascii="黑体" w:hAnsi="黑体" w:eastAsia="黑体"/>
          <w:sz w:val="32"/>
          <w:szCs w:val="32"/>
          <w:highlight w:val="none"/>
        </w:rPr>
      </w:pPr>
    </w:p>
    <w:p w14:paraId="3E2C1D66">
      <w:pPr>
        <w:jc w:val="center"/>
        <w:rPr>
          <w:rFonts w:hint="eastAsia" w:ascii="黑体" w:hAnsi="黑体" w:eastAsia="黑体"/>
          <w:sz w:val="32"/>
          <w:szCs w:val="32"/>
          <w:highlight w:val="none"/>
        </w:rPr>
      </w:pPr>
    </w:p>
    <w:p w14:paraId="61069D9A">
      <w:pPr>
        <w:jc w:val="center"/>
        <w:rPr>
          <w:rFonts w:hint="eastAsia" w:ascii="黑体" w:hAnsi="黑体" w:eastAsia="黑体"/>
          <w:sz w:val="32"/>
          <w:szCs w:val="32"/>
          <w:highlight w:val="none"/>
        </w:rPr>
      </w:pPr>
    </w:p>
    <w:p w14:paraId="1E91D359">
      <w:pPr>
        <w:jc w:val="center"/>
        <w:rPr>
          <w:rFonts w:hint="eastAsia" w:ascii="黑体" w:hAnsi="黑体" w:eastAsia="黑体"/>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CBB468C">
      <w:pPr>
        <w:jc w:val="center"/>
        <w:rPr>
          <w:rFonts w:hint="eastAsia" w:ascii="仿宋" w:hAnsi="仿宋" w:eastAsia="仿宋"/>
          <w:sz w:val="32"/>
          <w:szCs w:val="32"/>
          <w:highlight w:val="none"/>
        </w:rPr>
      </w:pPr>
    </w:p>
    <w:p w14:paraId="7974F39C">
      <w:pPr>
        <w:jc w:val="center"/>
        <w:rPr>
          <w:rFonts w:hint="eastAsia" w:ascii="仿宋" w:hAnsi="仿宋" w:eastAsia="仿宋"/>
          <w:sz w:val="32"/>
          <w:szCs w:val="32"/>
          <w:highlight w:val="none"/>
        </w:rPr>
      </w:pPr>
    </w:p>
    <w:p w14:paraId="3BC9A877">
      <w:pPr>
        <w:jc w:val="center"/>
        <w:rPr>
          <w:rFonts w:hint="eastAsia"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56B372D6"/>
    <w:multiLevelType w:val="singleLevel"/>
    <w:tmpl w:val="56B372D6"/>
    <w:lvl w:ilvl="0" w:tentative="0">
      <w:start w:val="1"/>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3E667A"/>
    <w:rsid w:val="01640BD1"/>
    <w:rsid w:val="018E6F43"/>
    <w:rsid w:val="01EC1B1D"/>
    <w:rsid w:val="02E765A5"/>
    <w:rsid w:val="034968DF"/>
    <w:rsid w:val="03D7309C"/>
    <w:rsid w:val="03F248D4"/>
    <w:rsid w:val="07C71E05"/>
    <w:rsid w:val="088A0ED1"/>
    <w:rsid w:val="09446B26"/>
    <w:rsid w:val="0A445076"/>
    <w:rsid w:val="0A450E4E"/>
    <w:rsid w:val="0A7F599D"/>
    <w:rsid w:val="0B4115AF"/>
    <w:rsid w:val="0C280315"/>
    <w:rsid w:val="0C633590"/>
    <w:rsid w:val="0C7C5D37"/>
    <w:rsid w:val="0CB273B1"/>
    <w:rsid w:val="0D0F40E1"/>
    <w:rsid w:val="0E0E4A27"/>
    <w:rsid w:val="0E235FAD"/>
    <w:rsid w:val="0E933B6E"/>
    <w:rsid w:val="0F3C5D93"/>
    <w:rsid w:val="0F4C4086"/>
    <w:rsid w:val="103321DB"/>
    <w:rsid w:val="10D9450A"/>
    <w:rsid w:val="11061D89"/>
    <w:rsid w:val="112B3A0C"/>
    <w:rsid w:val="117169F8"/>
    <w:rsid w:val="11DF6BD5"/>
    <w:rsid w:val="12C62CA4"/>
    <w:rsid w:val="147243FE"/>
    <w:rsid w:val="14CD484B"/>
    <w:rsid w:val="15DA5399"/>
    <w:rsid w:val="1839269F"/>
    <w:rsid w:val="187E3884"/>
    <w:rsid w:val="18F97B94"/>
    <w:rsid w:val="191A0446"/>
    <w:rsid w:val="1B4A363A"/>
    <w:rsid w:val="1BC526EF"/>
    <w:rsid w:val="1C6F7740"/>
    <w:rsid w:val="1C882350"/>
    <w:rsid w:val="1CDC1A5B"/>
    <w:rsid w:val="1E78177F"/>
    <w:rsid w:val="1F451F7A"/>
    <w:rsid w:val="1F530B6C"/>
    <w:rsid w:val="1FFB4DF8"/>
    <w:rsid w:val="20EF71F1"/>
    <w:rsid w:val="23204EA5"/>
    <w:rsid w:val="2323212D"/>
    <w:rsid w:val="23C0685D"/>
    <w:rsid w:val="23FA4ECF"/>
    <w:rsid w:val="243517B6"/>
    <w:rsid w:val="2527010D"/>
    <w:rsid w:val="26DC2BFA"/>
    <w:rsid w:val="27063D31"/>
    <w:rsid w:val="27742DDB"/>
    <w:rsid w:val="27747EDE"/>
    <w:rsid w:val="277B13CF"/>
    <w:rsid w:val="285B5D80"/>
    <w:rsid w:val="28753BF0"/>
    <w:rsid w:val="28AA47B7"/>
    <w:rsid w:val="28CB641B"/>
    <w:rsid w:val="29207EE3"/>
    <w:rsid w:val="2AC832F5"/>
    <w:rsid w:val="2B6701F0"/>
    <w:rsid w:val="2D742D12"/>
    <w:rsid w:val="2E3342C6"/>
    <w:rsid w:val="331210F9"/>
    <w:rsid w:val="344D4C9B"/>
    <w:rsid w:val="34A905DD"/>
    <w:rsid w:val="36273D08"/>
    <w:rsid w:val="37361A0B"/>
    <w:rsid w:val="37E666B0"/>
    <w:rsid w:val="380F3E7F"/>
    <w:rsid w:val="38253B59"/>
    <w:rsid w:val="385B501F"/>
    <w:rsid w:val="38DE30B8"/>
    <w:rsid w:val="39284901"/>
    <w:rsid w:val="3A482539"/>
    <w:rsid w:val="3A915046"/>
    <w:rsid w:val="3C4C15D1"/>
    <w:rsid w:val="3CEA5A8A"/>
    <w:rsid w:val="3D897F97"/>
    <w:rsid w:val="3DA7578C"/>
    <w:rsid w:val="3DE732E4"/>
    <w:rsid w:val="3F597259"/>
    <w:rsid w:val="3F6B774D"/>
    <w:rsid w:val="403A7E98"/>
    <w:rsid w:val="41DF7E6B"/>
    <w:rsid w:val="42202CED"/>
    <w:rsid w:val="426F369B"/>
    <w:rsid w:val="430260DD"/>
    <w:rsid w:val="442476FC"/>
    <w:rsid w:val="442F01B5"/>
    <w:rsid w:val="46C17DAD"/>
    <w:rsid w:val="46F64D5D"/>
    <w:rsid w:val="47525949"/>
    <w:rsid w:val="47EA334F"/>
    <w:rsid w:val="49B81F53"/>
    <w:rsid w:val="4AAC7860"/>
    <w:rsid w:val="4B2D6981"/>
    <w:rsid w:val="4D0265B8"/>
    <w:rsid w:val="4D464B04"/>
    <w:rsid w:val="4D6B792C"/>
    <w:rsid w:val="4D8021B9"/>
    <w:rsid w:val="4DFF6777"/>
    <w:rsid w:val="4EB752BA"/>
    <w:rsid w:val="4ED6365B"/>
    <w:rsid w:val="4F5E1E42"/>
    <w:rsid w:val="4F735000"/>
    <w:rsid w:val="50F75E7E"/>
    <w:rsid w:val="51436F0F"/>
    <w:rsid w:val="515D672F"/>
    <w:rsid w:val="51BB428B"/>
    <w:rsid w:val="52DF1D28"/>
    <w:rsid w:val="53360094"/>
    <w:rsid w:val="53A4083B"/>
    <w:rsid w:val="54923E8D"/>
    <w:rsid w:val="54941844"/>
    <w:rsid w:val="553028D2"/>
    <w:rsid w:val="5538455E"/>
    <w:rsid w:val="55DE0CCF"/>
    <w:rsid w:val="567F658B"/>
    <w:rsid w:val="56A94595"/>
    <w:rsid w:val="57833AC4"/>
    <w:rsid w:val="57B35E95"/>
    <w:rsid w:val="580A299B"/>
    <w:rsid w:val="58330B85"/>
    <w:rsid w:val="584C035A"/>
    <w:rsid w:val="59101557"/>
    <w:rsid w:val="59551159"/>
    <w:rsid w:val="5AF17379"/>
    <w:rsid w:val="5B5D76B7"/>
    <w:rsid w:val="5B8E44C5"/>
    <w:rsid w:val="5C982767"/>
    <w:rsid w:val="5CAF704B"/>
    <w:rsid w:val="5CD80EBE"/>
    <w:rsid w:val="5CFA751D"/>
    <w:rsid w:val="5DB8541C"/>
    <w:rsid w:val="5E221344"/>
    <w:rsid w:val="5E32788E"/>
    <w:rsid w:val="5F890A06"/>
    <w:rsid w:val="5FB128C2"/>
    <w:rsid w:val="60731B65"/>
    <w:rsid w:val="60D72763"/>
    <w:rsid w:val="61525EF8"/>
    <w:rsid w:val="62B666A5"/>
    <w:rsid w:val="62E15FE9"/>
    <w:rsid w:val="65255B39"/>
    <w:rsid w:val="659C7B1A"/>
    <w:rsid w:val="65E847CC"/>
    <w:rsid w:val="67286561"/>
    <w:rsid w:val="691F508E"/>
    <w:rsid w:val="6A340295"/>
    <w:rsid w:val="6A5666B8"/>
    <w:rsid w:val="6BA24603"/>
    <w:rsid w:val="6C626D3D"/>
    <w:rsid w:val="6C7F2654"/>
    <w:rsid w:val="6CDF6931"/>
    <w:rsid w:val="6D9B1E51"/>
    <w:rsid w:val="6DF0400D"/>
    <w:rsid w:val="6E5B22F8"/>
    <w:rsid w:val="6EB92B57"/>
    <w:rsid w:val="6EBB5BE5"/>
    <w:rsid w:val="70EF2762"/>
    <w:rsid w:val="71201EF9"/>
    <w:rsid w:val="714A7BD8"/>
    <w:rsid w:val="716F5053"/>
    <w:rsid w:val="71D91536"/>
    <w:rsid w:val="729E55FD"/>
    <w:rsid w:val="73426BD9"/>
    <w:rsid w:val="73D62900"/>
    <w:rsid w:val="73FA7C77"/>
    <w:rsid w:val="744F0BEE"/>
    <w:rsid w:val="74A55A8E"/>
    <w:rsid w:val="7539654A"/>
    <w:rsid w:val="75836739"/>
    <w:rsid w:val="75916F41"/>
    <w:rsid w:val="75C86E1A"/>
    <w:rsid w:val="76C753DE"/>
    <w:rsid w:val="76C775D8"/>
    <w:rsid w:val="77FC6956"/>
    <w:rsid w:val="7A64282A"/>
    <w:rsid w:val="7A8D6ADA"/>
    <w:rsid w:val="7A995229"/>
    <w:rsid w:val="7CD763A1"/>
    <w:rsid w:val="7DB366E4"/>
    <w:rsid w:val="7DB83C18"/>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3103</Words>
  <Characters>3401</Characters>
  <Lines>19</Lines>
  <Paragraphs>5</Paragraphs>
  <TotalTime>699</TotalTime>
  <ScaleCrop>false</ScaleCrop>
  <LinksUpToDate>false</LinksUpToDate>
  <CharactersWithSpaces>3477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杨欣燃</cp:lastModifiedBy>
  <dcterms:modified xsi:type="dcterms:W3CDTF">2025-01-22T07:44:50Z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eyJoZGlkIjoiYmI1NzQzMWQyOWFhYjA3MDQ0ZTE4MTRmMjRiY2ZmMjEiLCJ1c2VySWQiOiI1MTM1NTE3MzkifQ==</vt:lpwstr>
  </property>
</Properties>
</file>