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54640843">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蛟河市财政局2025年部门单位预算</w:t>
      </w:r>
    </w:p>
    <w:p w14:paraId="11D67B36">
      <w:pPr>
        <w:jc w:val="center"/>
        <w:rPr>
          <w:rFonts w:hint="eastAsia" w:ascii="黑体" w:hAnsi="黑体" w:eastAsia="黑体"/>
          <w:sz w:val="44"/>
          <w:szCs w:val="44"/>
          <w:highlight w:val="none"/>
        </w:rPr>
      </w:pPr>
    </w:p>
    <w:p w14:paraId="6EC86436">
      <w:pPr>
        <w:jc w:val="center"/>
        <w:rPr>
          <w:rFonts w:hint="eastAsia" w:ascii="黑体" w:hAnsi="黑体" w:eastAsia="黑体"/>
          <w:sz w:val="44"/>
          <w:szCs w:val="44"/>
          <w:highlight w:val="none"/>
        </w:rPr>
      </w:pPr>
    </w:p>
    <w:p w14:paraId="70C2AB69">
      <w:pPr>
        <w:jc w:val="center"/>
        <w:rPr>
          <w:rFonts w:hint="eastAsia" w:ascii="黑体" w:hAnsi="黑体" w:eastAsia="黑体"/>
          <w:sz w:val="44"/>
          <w:szCs w:val="44"/>
          <w:highlight w:val="none"/>
        </w:rPr>
      </w:pPr>
    </w:p>
    <w:p w14:paraId="0C4E11CE">
      <w:pPr>
        <w:jc w:val="center"/>
        <w:rPr>
          <w:rFonts w:hint="eastAsia" w:ascii="黑体" w:hAnsi="黑体" w:eastAsia="黑体"/>
          <w:sz w:val="44"/>
          <w:szCs w:val="44"/>
          <w:highlight w:val="none"/>
        </w:rPr>
      </w:pPr>
    </w:p>
    <w:p w14:paraId="29ED73A5">
      <w:pPr>
        <w:jc w:val="center"/>
        <w:rPr>
          <w:rFonts w:hint="eastAsia" w:ascii="黑体" w:hAnsi="黑体" w:eastAsia="黑体"/>
          <w:sz w:val="44"/>
          <w:szCs w:val="44"/>
          <w:highlight w:val="none"/>
        </w:rPr>
      </w:pPr>
    </w:p>
    <w:p w14:paraId="77A636BD">
      <w:pPr>
        <w:jc w:val="center"/>
        <w:rPr>
          <w:rFonts w:hint="eastAsia" w:ascii="黑体" w:hAnsi="黑体" w:eastAsia="黑体"/>
          <w:sz w:val="44"/>
          <w:szCs w:val="44"/>
          <w:highlight w:val="none"/>
        </w:rPr>
      </w:pPr>
    </w:p>
    <w:p w14:paraId="3FDC5E25">
      <w:pPr>
        <w:jc w:val="center"/>
        <w:rPr>
          <w:rFonts w:hint="eastAsia" w:ascii="黑体" w:hAnsi="黑体" w:eastAsia="黑体"/>
          <w:sz w:val="44"/>
          <w:szCs w:val="44"/>
          <w:highlight w:val="none"/>
        </w:rPr>
      </w:pPr>
    </w:p>
    <w:p w14:paraId="0D2D441E">
      <w:pPr>
        <w:jc w:val="center"/>
        <w:rPr>
          <w:rFonts w:hint="eastAsia" w:ascii="黑体" w:hAnsi="黑体" w:eastAsia="黑体"/>
          <w:sz w:val="44"/>
          <w:szCs w:val="44"/>
          <w:highlight w:val="none"/>
        </w:rPr>
      </w:pPr>
    </w:p>
    <w:p w14:paraId="0C150CBA">
      <w:pPr>
        <w:jc w:val="center"/>
        <w:rPr>
          <w:rFonts w:hint="eastAsia" w:ascii="黑体" w:hAnsi="黑体" w:eastAsia="黑体"/>
          <w:sz w:val="44"/>
          <w:szCs w:val="44"/>
          <w:highlight w:val="none"/>
        </w:rPr>
      </w:pPr>
    </w:p>
    <w:p w14:paraId="00250362">
      <w:pPr>
        <w:jc w:val="center"/>
        <w:rPr>
          <w:rFonts w:hint="eastAsia" w:ascii="黑体" w:hAnsi="黑体" w:eastAsia="黑体"/>
          <w:sz w:val="44"/>
          <w:szCs w:val="44"/>
          <w:highlight w:val="none"/>
        </w:rPr>
      </w:pPr>
    </w:p>
    <w:p w14:paraId="535AC85B">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二〇二五年一月二十二日</w:t>
      </w:r>
    </w:p>
    <w:p w14:paraId="72702A83">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B914095">
      <w:pPr>
        <w:jc w:val="center"/>
        <w:rPr>
          <w:rFonts w:ascii="黑体" w:hAnsi="黑体" w:eastAsia="黑体"/>
          <w:sz w:val="44"/>
          <w:szCs w:val="44"/>
          <w:highlight w:val="none"/>
        </w:rPr>
      </w:pPr>
      <w:r>
        <w:rPr>
          <w:rFonts w:hint="eastAsia" w:ascii="黑体" w:hAnsi="黑体" w:eastAsia="黑体"/>
          <w:sz w:val="44"/>
          <w:szCs w:val="44"/>
        </w:rPr>
        <w:t>蛟河市财政局</w:t>
      </w:r>
      <w:r>
        <w:rPr>
          <w:rFonts w:hint="eastAsia" w:ascii="黑体" w:hAnsi="黑体" w:eastAsia="黑体"/>
          <w:sz w:val="44"/>
          <w:szCs w:val="44"/>
          <w:lang w:eastAsia="zh-CN"/>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34DE850">
      <w:pPr>
        <w:jc w:val="left"/>
        <w:rPr>
          <w:rFonts w:ascii="仿宋" w:hAnsi="仿宋" w:eastAsia="仿宋"/>
          <w:sz w:val="32"/>
          <w:szCs w:val="32"/>
        </w:rPr>
      </w:pPr>
      <w:r>
        <w:rPr>
          <w:rFonts w:hint="eastAsia" w:ascii="仿宋" w:hAnsi="仿宋" w:eastAsia="仿宋"/>
          <w:sz w:val="32"/>
          <w:szCs w:val="32"/>
        </w:rPr>
        <w:t xml:space="preserve"> 一、主要职能</w:t>
      </w:r>
    </w:p>
    <w:p w14:paraId="19FC4664">
      <w:pPr>
        <w:pStyle w:val="11"/>
        <w:widowControl/>
        <w:spacing w:line="620" w:lineRule="exact"/>
        <w:ind w:firstLine="627" w:firstLineChars="196"/>
        <w:contextualSpacing/>
        <w:rPr>
          <w:rFonts w:ascii="仿宋_GB2312" w:hAnsi="仿宋_GB2312" w:eastAsia="仿宋_GB2312"/>
          <w:bCs/>
          <w:sz w:val="32"/>
          <w:szCs w:val="32"/>
        </w:rPr>
      </w:pPr>
      <w:r>
        <w:rPr>
          <w:rFonts w:hint="eastAsia" w:ascii="仿宋_GB2312" w:hAnsi="仿宋_GB2312" w:eastAsia="仿宋_GB2312"/>
          <w:bCs/>
          <w:sz w:val="32"/>
          <w:szCs w:val="32"/>
        </w:rPr>
        <w:t>单位</w:t>
      </w:r>
      <w:r>
        <w:rPr>
          <w:rFonts w:hint="eastAsia" w:ascii="仿宋_GB2312" w:hAnsi="仿宋_GB2312" w:eastAsia="仿宋_GB2312"/>
          <w:bCs/>
          <w:kern w:val="0"/>
          <w:sz w:val="32"/>
          <w:szCs w:val="32"/>
        </w:rPr>
        <w:t>名称：蛟河市财政局</w:t>
      </w:r>
    </w:p>
    <w:p w14:paraId="4AD5F616">
      <w:pPr>
        <w:pStyle w:val="11"/>
        <w:widowControl/>
        <w:spacing w:line="620" w:lineRule="exact"/>
        <w:ind w:firstLine="627" w:firstLineChars="196"/>
        <w:contextualSpacing/>
        <w:rPr>
          <w:rFonts w:ascii="仿宋_GB2312" w:hAnsi="仿宋_GB2312" w:eastAsia="仿宋_GB2312"/>
          <w:bCs/>
          <w:kern w:val="0"/>
          <w:sz w:val="32"/>
          <w:szCs w:val="32"/>
        </w:rPr>
      </w:pPr>
      <w:r>
        <w:rPr>
          <w:rFonts w:hint="eastAsia" w:ascii="仿宋_GB2312" w:hAnsi="仿宋_GB2312" w:eastAsia="仿宋_GB2312"/>
          <w:bCs/>
          <w:kern w:val="0"/>
          <w:sz w:val="32"/>
          <w:szCs w:val="32"/>
        </w:rPr>
        <w:t>成立时间：1967年</w:t>
      </w:r>
    </w:p>
    <w:p w14:paraId="43A7AB0B">
      <w:pPr>
        <w:widowControl/>
        <w:shd w:val="clear" w:color="auto" w:fill="FFFFFF"/>
        <w:spacing w:line="360" w:lineRule="atLeast"/>
        <w:ind w:firstLine="640" w:firstLineChars="200"/>
        <w:jc w:val="left"/>
        <w:rPr>
          <w:rFonts w:ascii="仿宋_GB2312" w:hAnsi="仿宋_GB2312" w:eastAsia="仿宋_GB2312"/>
          <w:bCs/>
          <w:kern w:val="0"/>
          <w:sz w:val="32"/>
          <w:szCs w:val="32"/>
        </w:rPr>
      </w:pPr>
      <w:r>
        <w:rPr>
          <w:rFonts w:hint="eastAsia" w:ascii="仿宋_GB2312" w:hAnsi="仿宋_GB2312" w:eastAsia="仿宋_GB2312"/>
          <w:bCs/>
          <w:kern w:val="0"/>
          <w:sz w:val="32"/>
          <w:szCs w:val="32"/>
        </w:rPr>
        <w:t>单位性质：</w:t>
      </w:r>
      <w:r>
        <w:rPr>
          <w:rFonts w:ascii="仿宋_GB2312" w:hAnsi="仿宋_GB2312" w:eastAsia="仿宋_GB2312"/>
          <w:bCs/>
          <w:kern w:val="0"/>
          <w:sz w:val="32"/>
          <w:szCs w:val="32"/>
        </w:rPr>
        <w:t>蛟河市财政局是蛟河市人民政府负责全市财政工作的职能部门。</w:t>
      </w:r>
    </w:p>
    <w:p w14:paraId="2BEB5CCC">
      <w:pPr>
        <w:autoSpaceDE w:val="0"/>
        <w:autoSpaceDN w:val="0"/>
        <w:adjustRightInd w:val="0"/>
        <w:snapToGrid w:val="0"/>
        <w:spacing w:line="600" w:lineRule="exact"/>
        <w:ind w:firstLine="640" w:firstLineChars="200"/>
        <w:rPr>
          <w:rFonts w:ascii="仿宋_GB2312" w:hAnsi="仿宋_GB2312" w:eastAsia="仿宋_GB2312"/>
          <w:bCs/>
          <w:kern w:val="0"/>
          <w:sz w:val="32"/>
          <w:szCs w:val="32"/>
        </w:rPr>
      </w:pPr>
      <w:r>
        <w:rPr>
          <w:rFonts w:hint="eastAsia" w:ascii="仿宋_GB2312" w:hAnsi="仿宋_GB2312" w:eastAsia="仿宋_GB2312"/>
          <w:bCs/>
          <w:kern w:val="0"/>
          <w:sz w:val="32"/>
          <w:szCs w:val="32"/>
        </w:rPr>
        <w:t>主要职能：</w:t>
      </w:r>
    </w:p>
    <w:p w14:paraId="0F9116C5">
      <w:pPr>
        <w:autoSpaceDE w:val="0"/>
        <w:autoSpaceDN w:val="0"/>
        <w:adjustRightInd w:val="0"/>
        <w:snapToGrid w:val="0"/>
        <w:spacing w:line="600" w:lineRule="exact"/>
        <w:ind w:firstLine="664" w:firstLineChars="200"/>
        <w:rPr>
          <w:rFonts w:ascii="仿宋_GB2312" w:eastAsia="仿宋_GB2312"/>
          <w:color w:val="000000"/>
          <w:spacing w:val="13"/>
          <w:kern w:val="0"/>
          <w:sz w:val="32"/>
          <w:szCs w:val="32"/>
        </w:rPr>
      </w:pPr>
      <w:r>
        <w:rPr>
          <w:rFonts w:hint="eastAsia" w:ascii="仿宋_GB2312" w:eastAsia="仿宋_GB2312"/>
          <w:color w:val="000000"/>
          <w:spacing w:val="6"/>
          <w:kern w:val="0"/>
          <w:sz w:val="32"/>
          <w:szCs w:val="32"/>
        </w:rPr>
        <w:t>（一）贯彻执行国家财税方针、政策；根据全市国民经济和社</w:t>
      </w:r>
      <w:r>
        <w:rPr>
          <w:rFonts w:hint="eastAsia" w:ascii="仿宋_GB2312" w:eastAsia="仿宋_GB2312"/>
          <w:color w:val="000000"/>
          <w:kern w:val="0"/>
          <w:sz w:val="32"/>
          <w:szCs w:val="32"/>
        </w:rPr>
        <w:t>会发展战略，研究拟订全市财政中长期发展规划、改革方案及其有关政策并组织实施；分析预测经济形势，参与制订各项经济政策，提出</w:t>
      </w:r>
      <w:r>
        <w:rPr>
          <w:rFonts w:hint="eastAsia" w:ascii="仿宋_GB2312" w:eastAsia="仿宋_GB2312"/>
          <w:color w:val="000000"/>
          <w:spacing w:val="13"/>
          <w:kern w:val="0"/>
          <w:sz w:val="32"/>
          <w:szCs w:val="32"/>
        </w:rPr>
        <w:t>运用财税政策实施经济调控和综合平衡社会财力的建议。</w:t>
      </w:r>
    </w:p>
    <w:p w14:paraId="04FC9467">
      <w:pPr>
        <w:autoSpaceDE w:val="0"/>
        <w:autoSpaceDN w:val="0"/>
        <w:adjustRightInd w:val="0"/>
        <w:snapToGrid w:val="0"/>
        <w:spacing w:line="600" w:lineRule="exact"/>
        <w:ind w:firstLine="660" w:firstLineChars="200"/>
        <w:rPr>
          <w:rFonts w:ascii="仿宋_GB2312" w:eastAsia="仿宋_GB2312"/>
          <w:color w:val="000000"/>
          <w:kern w:val="0"/>
          <w:sz w:val="32"/>
          <w:szCs w:val="32"/>
        </w:rPr>
      </w:pPr>
      <w:r>
        <w:rPr>
          <w:rFonts w:hint="eastAsia" w:ascii="仿宋_GB2312" w:eastAsia="仿宋_GB2312"/>
          <w:color w:val="000000"/>
          <w:spacing w:val="5"/>
          <w:kern w:val="0"/>
          <w:sz w:val="32"/>
          <w:szCs w:val="32"/>
        </w:rPr>
        <w:t>（二）起草财政、财务、会计管理的地方性法规和市政府规</w:t>
      </w:r>
      <w:r>
        <w:rPr>
          <w:rFonts w:hint="eastAsia" w:ascii="仿宋_GB2312" w:eastAsia="仿宋_GB2312"/>
          <w:color w:val="000000"/>
          <w:kern w:val="0"/>
          <w:sz w:val="32"/>
          <w:szCs w:val="32"/>
        </w:rPr>
        <w:t>章草案。</w:t>
      </w:r>
    </w:p>
    <w:p w14:paraId="658A78A4">
      <w:pPr>
        <w:autoSpaceDE w:val="0"/>
        <w:autoSpaceDN w:val="0"/>
        <w:adjustRightInd w:val="0"/>
        <w:snapToGrid w:val="0"/>
        <w:spacing w:line="600" w:lineRule="exact"/>
        <w:ind w:firstLine="660" w:firstLineChars="200"/>
        <w:rPr>
          <w:rFonts w:ascii="仿宋_GB2312" w:eastAsia="仿宋_GB2312"/>
          <w:color w:val="000000"/>
          <w:kern w:val="0"/>
          <w:sz w:val="32"/>
          <w:szCs w:val="32"/>
        </w:rPr>
      </w:pPr>
      <w:r>
        <w:rPr>
          <w:rFonts w:hint="eastAsia" w:ascii="仿宋_GB2312" w:eastAsia="仿宋_GB2312"/>
          <w:color w:val="000000"/>
          <w:spacing w:val="5"/>
          <w:kern w:val="0"/>
          <w:sz w:val="32"/>
          <w:szCs w:val="32"/>
        </w:rPr>
        <w:t>（三）承担市级各项财政收支管理的责任。编制年度市</w:t>
      </w:r>
      <w:r>
        <w:rPr>
          <w:rFonts w:hint="eastAsia" w:ascii="仿宋_GB2312" w:eastAsia="仿宋_GB2312"/>
          <w:color w:val="000000"/>
          <w:spacing w:val="3"/>
          <w:kern w:val="0"/>
          <w:sz w:val="32"/>
          <w:szCs w:val="32"/>
        </w:rPr>
        <w:t>本级预决算草案并组织执行。受市政府委托，向市人民代表大会报告市级和全市年度预算及其执行情况，向市人大常委会报告决</w:t>
      </w:r>
      <w:r>
        <w:rPr>
          <w:rFonts w:hint="eastAsia" w:ascii="仿宋_GB2312" w:eastAsia="仿宋_GB2312"/>
          <w:color w:val="000000"/>
          <w:spacing w:val="6"/>
          <w:kern w:val="0"/>
          <w:sz w:val="32"/>
          <w:szCs w:val="32"/>
        </w:rPr>
        <w:t>算。组织制订经费开支标准、定额，审核批复部门(单位)</w:t>
      </w:r>
      <w:r>
        <w:rPr>
          <w:rFonts w:hint="eastAsia" w:ascii="仿宋_GB2312" w:eastAsia="仿宋_GB2312"/>
          <w:color w:val="000000"/>
          <w:kern w:val="0"/>
          <w:sz w:val="32"/>
          <w:szCs w:val="32"/>
        </w:rPr>
        <w:t>的年度预决算。完善对下级财政转移支付制度。</w:t>
      </w:r>
    </w:p>
    <w:p w14:paraId="2CB55C2B">
      <w:pPr>
        <w:autoSpaceDE w:val="0"/>
        <w:autoSpaceDN w:val="0"/>
        <w:adjustRightInd w:val="0"/>
        <w:snapToGrid w:val="0"/>
        <w:spacing w:line="600" w:lineRule="exact"/>
        <w:ind w:firstLine="660" w:firstLineChars="200"/>
        <w:rPr>
          <w:rFonts w:ascii="仿宋_GB2312" w:eastAsia="仿宋_GB2312"/>
          <w:color w:val="000000"/>
          <w:sz w:val="32"/>
          <w:szCs w:val="32"/>
        </w:rPr>
      </w:pPr>
      <w:r>
        <w:rPr>
          <w:rFonts w:hint="eastAsia" w:ascii="仿宋_GB2312" w:eastAsia="仿宋_GB2312"/>
          <w:color w:val="000000"/>
          <w:spacing w:val="5"/>
          <w:kern w:val="0"/>
          <w:sz w:val="32"/>
          <w:szCs w:val="32"/>
        </w:rPr>
        <w:t>（四）负责政府非税收入管理，拟订政府非税收入管理有关</w:t>
      </w:r>
      <w:r>
        <w:rPr>
          <w:rFonts w:hint="eastAsia" w:ascii="仿宋_GB2312" w:eastAsia="仿宋_GB2312"/>
          <w:color w:val="000000"/>
          <w:spacing w:val="6"/>
          <w:kern w:val="0"/>
          <w:sz w:val="32"/>
          <w:szCs w:val="32"/>
        </w:rPr>
        <w:t>制度和政策；负责政府性基金管理；按规定管理行政事业性收</w:t>
      </w:r>
      <w:r>
        <w:rPr>
          <w:rFonts w:hint="eastAsia" w:ascii="仿宋_GB2312" w:eastAsia="仿宋_GB2312"/>
          <w:color w:val="000000"/>
          <w:spacing w:val="3"/>
          <w:kern w:val="0"/>
          <w:sz w:val="32"/>
          <w:szCs w:val="32"/>
        </w:rPr>
        <w:t>费。管理财政票据。执行彩票管理制度，管理彩票市</w:t>
      </w:r>
      <w:r>
        <w:rPr>
          <w:rFonts w:hint="eastAsia" w:ascii="仿宋_GB2312" w:eastAsia="仿宋_GB2312"/>
          <w:color w:val="000000"/>
          <w:kern w:val="0"/>
          <w:sz w:val="32"/>
          <w:szCs w:val="32"/>
        </w:rPr>
        <w:t>场，按规定管理彩票资金。</w:t>
      </w:r>
    </w:p>
    <w:p w14:paraId="12DD0D85">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（五）研究并执行地方国库管理制度、国库集中收付制度，指</w:t>
      </w:r>
      <w:r>
        <w:rPr>
          <w:rFonts w:hint="eastAsia" w:ascii="仿宋_GB2312" w:eastAsia="仿宋_GB2312"/>
          <w:color w:val="000000"/>
          <w:spacing w:val="1"/>
          <w:kern w:val="0"/>
          <w:sz w:val="32"/>
          <w:szCs w:val="32"/>
        </w:rPr>
        <w:t>导和监督市国库业务，按规定开展国库现金管理工作。拟订</w:t>
      </w:r>
      <w:r>
        <w:rPr>
          <w:rFonts w:hint="eastAsia" w:ascii="仿宋_GB2312" w:eastAsia="仿宋_GB2312"/>
          <w:color w:val="000000"/>
          <w:kern w:val="0"/>
          <w:sz w:val="32"/>
          <w:szCs w:val="32"/>
        </w:rPr>
        <w:t>政府采购制度并监督管理。</w:t>
      </w:r>
    </w:p>
    <w:p w14:paraId="473D6425">
      <w:pPr>
        <w:autoSpaceDE w:val="0"/>
        <w:autoSpaceDN w:val="0"/>
        <w:adjustRightInd w:val="0"/>
        <w:snapToGrid w:val="0"/>
        <w:spacing w:line="600" w:lineRule="exact"/>
        <w:ind w:firstLine="652" w:firstLineChars="200"/>
        <w:rPr>
          <w:rFonts w:ascii="仿宋_GB2312" w:eastAsia="仿宋_GB2312"/>
          <w:color w:val="000000"/>
          <w:spacing w:val="28"/>
          <w:kern w:val="0"/>
          <w:sz w:val="32"/>
          <w:szCs w:val="32"/>
        </w:rPr>
      </w:pPr>
      <w:r>
        <w:rPr>
          <w:rFonts w:hint="eastAsia" w:ascii="仿宋_GB2312" w:eastAsia="仿宋_GB2312"/>
          <w:color w:val="000000"/>
          <w:spacing w:val="3"/>
          <w:kern w:val="0"/>
          <w:sz w:val="32"/>
          <w:szCs w:val="32"/>
        </w:rPr>
        <w:t>（六）组织起草税收地方性法规和市政府规章草案，拟订实</w:t>
      </w:r>
      <w:r>
        <w:rPr>
          <w:rFonts w:hint="eastAsia" w:ascii="仿宋_GB2312" w:eastAsia="仿宋_GB2312"/>
          <w:color w:val="000000"/>
          <w:spacing w:val="1"/>
          <w:kern w:val="0"/>
          <w:sz w:val="32"/>
          <w:szCs w:val="32"/>
        </w:rPr>
        <w:t>施细则和税收政策调整方案。根据全市国民经济和社会发展计划</w:t>
      </w:r>
      <w:r>
        <w:rPr>
          <w:rFonts w:hint="eastAsia" w:ascii="仿宋_GB2312" w:eastAsia="仿宋_GB2312"/>
          <w:color w:val="000000"/>
          <w:spacing w:val="28"/>
          <w:kern w:val="0"/>
          <w:sz w:val="32"/>
          <w:szCs w:val="32"/>
        </w:rPr>
        <w:t>及财政预算安排，提出全市财政税收收入计划。</w:t>
      </w:r>
    </w:p>
    <w:p w14:paraId="089DCABA">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（七）拟订地方行政事业单位国有资产管理规章制度，</w:t>
      </w:r>
      <w:r>
        <w:rPr>
          <w:rFonts w:hint="eastAsia" w:ascii="仿宋_GB2312" w:eastAsia="仿宋_GB2312"/>
          <w:color w:val="000000"/>
          <w:spacing w:val="1"/>
          <w:kern w:val="0"/>
          <w:sz w:val="32"/>
          <w:szCs w:val="32"/>
        </w:rPr>
        <w:t>管理行政事业单位国有资产；拟订需要全市统一规定的开支标准和支出政策；负责财政预算内行政机构、事业单位和社会团体的</w:t>
      </w:r>
      <w:r>
        <w:rPr>
          <w:rFonts w:hint="eastAsia" w:ascii="仿宋_GB2312" w:eastAsia="仿宋_GB2312"/>
          <w:color w:val="000000"/>
          <w:kern w:val="0"/>
          <w:sz w:val="32"/>
          <w:szCs w:val="32"/>
        </w:rPr>
        <w:t>非贸易外汇管理。</w:t>
      </w:r>
    </w:p>
    <w:p w14:paraId="36599AD4">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（八）研究提出支持企业改革和发展财政政策；</w:t>
      </w:r>
      <w:r>
        <w:rPr>
          <w:rFonts w:hint="eastAsia" w:ascii="仿宋_GB2312" w:eastAsia="仿宋_GB2312"/>
          <w:color w:val="000000"/>
          <w:spacing w:val="1"/>
          <w:kern w:val="0"/>
          <w:sz w:val="32"/>
          <w:szCs w:val="32"/>
        </w:rPr>
        <w:t>组织实施企业财务制度</w:t>
      </w:r>
      <w:r>
        <w:rPr>
          <w:rFonts w:hint="eastAsia" w:ascii="仿宋_GB2312" w:eastAsia="仿宋_GB2312"/>
          <w:color w:val="000000"/>
          <w:kern w:val="0"/>
          <w:sz w:val="32"/>
          <w:szCs w:val="32"/>
        </w:rPr>
        <w:t>。</w:t>
      </w:r>
    </w:p>
    <w:p w14:paraId="60CA892F">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（九）办理和监督市级财政的经济发展支出、市政府性</w:t>
      </w:r>
      <w:r>
        <w:rPr>
          <w:rFonts w:hint="eastAsia" w:ascii="仿宋_GB2312" w:eastAsia="仿宋_GB2312"/>
          <w:color w:val="000000"/>
          <w:spacing w:val="1"/>
          <w:kern w:val="0"/>
          <w:sz w:val="32"/>
          <w:szCs w:val="32"/>
        </w:rPr>
        <w:t>投资项目的财政拨款；参与拟订市建设投资的有关政策，执行基本建设财务制度；负责有关政策性补贴和专项储备资金财政管理</w:t>
      </w:r>
      <w:r>
        <w:rPr>
          <w:rFonts w:hint="eastAsia" w:ascii="仿宋_GB2312" w:eastAsia="仿宋_GB2312"/>
          <w:color w:val="000000"/>
          <w:kern w:val="0"/>
          <w:sz w:val="32"/>
          <w:szCs w:val="32"/>
        </w:rPr>
        <w:t>工作。负责农业综合开发管理工作。</w:t>
      </w:r>
    </w:p>
    <w:p w14:paraId="6751D9D7">
      <w:pPr>
        <w:autoSpaceDE w:val="0"/>
        <w:autoSpaceDN w:val="0"/>
        <w:adjustRightInd w:val="0"/>
        <w:snapToGrid w:val="0"/>
        <w:spacing w:line="600" w:lineRule="exact"/>
        <w:ind w:firstLine="652" w:firstLineChars="200"/>
        <w:rPr>
          <w:rFonts w:ascii="仿宋_GB2312" w:eastAsia="仿宋_GB2312"/>
          <w:color w:val="000000"/>
          <w:sz w:val="32"/>
          <w:szCs w:val="32"/>
        </w:rPr>
      </w:pPr>
      <w:r>
        <w:rPr>
          <w:rFonts w:hint="eastAsia" w:ascii="仿宋_GB2312" w:eastAsia="仿宋_GB2312"/>
          <w:color w:val="000000"/>
          <w:spacing w:val="3"/>
          <w:kern w:val="0"/>
          <w:sz w:val="32"/>
          <w:szCs w:val="32"/>
        </w:rPr>
        <w:t>（十）会同有关部门管理市财政社会保障和就业及医疗卫生</w:t>
      </w:r>
      <w:r>
        <w:rPr>
          <w:rFonts w:hint="eastAsia" w:ascii="仿宋_GB2312" w:eastAsia="仿宋_GB2312"/>
          <w:color w:val="000000"/>
          <w:spacing w:val="7"/>
          <w:kern w:val="0"/>
          <w:sz w:val="32"/>
          <w:szCs w:val="32"/>
        </w:rPr>
        <w:t>支出；会同有关部门拟订社会保障资金(基金)的财务管理制</w:t>
      </w:r>
      <w:r>
        <w:rPr>
          <w:rFonts w:hint="eastAsia" w:ascii="仿宋_GB2312" w:eastAsia="仿宋_GB2312"/>
          <w:color w:val="000000"/>
          <w:kern w:val="0"/>
          <w:sz w:val="32"/>
          <w:szCs w:val="32"/>
        </w:rPr>
        <w:t>度；组织实施对社会保障资金使用的监督。</w:t>
      </w:r>
    </w:p>
    <w:p w14:paraId="6392AEB3">
      <w:pPr>
        <w:autoSpaceDE w:val="0"/>
        <w:autoSpaceDN w:val="0"/>
        <w:adjustRightInd w:val="0"/>
        <w:snapToGrid w:val="0"/>
        <w:spacing w:line="600" w:lineRule="exact"/>
        <w:ind w:firstLine="652" w:firstLineChars="200"/>
        <w:rPr>
          <w:rFonts w:eastAsia="仿宋_GB2312"/>
          <w:color w:val="000000"/>
          <w:kern w:val="0"/>
          <w:sz w:val="32"/>
          <w:szCs w:val="32"/>
        </w:rPr>
      </w:pPr>
      <w:r>
        <w:rPr>
          <w:rFonts w:hint="eastAsia" w:ascii="仿宋_GB2312" w:eastAsia="仿宋_GB2312"/>
          <w:color w:val="000000"/>
          <w:spacing w:val="3"/>
          <w:kern w:val="0"/>
          <w:sz w:val="32"/>
          <w:szCs w:val="32"/>
        </w:rPr>
        <w:t>（十一）贯彻执行国家债务管理方面</w:t>
      </w:r>
      <w:r>
        <w:rPr>
          <w:rFonts w:hint="eastAsia" w:eastAsia="仿宋_GB2312"/>
          <w:color w:val="000000"/>
          <w:spacing w:val="3"/>
          <w:kern w:val="0"/>
          <w:sz w:val="32"/>
          <w:szCs w:val="32"/>
        </w:rPr>
        <w:t>的方针政策和制度，执行</w:t>
      </w:r>
      <w:r>
        <w:rPr>
          <w:rFonts w:hint="eastAsia" w:eastAsia="仿宋_GB2312"/>
          <w:color w:val="000000"/>
          <w:kern w:val="0"/>
          <w:sz w:val="32"/>
          <w:szCs w:val="32"/>
        </w:rPr>
        <w:t>地方政府性债务管理制度和办法，防范财政风险。统一管理政府的内外债务。</w:t>
      </w:r>
    </w:p>
    <w:p w14:paraId="1CDF8621">
      <w:pPr>
        <w:autoSpaceDE w:val="0"/>
        <w:autoSpaceDN w:val="0"/>
        <w:adjustRightInd w:val="0"/>
        <w:snapToGrid w:val="0"/>
        <w:spacing w:line="600" w:lineRule="exact"/>
        <w:ind w:firstLine="652" w:firstLineChars="200"/>
        <w:rPr>
          <w:rFonts w:eastAsia="仿宋_GB2312"/>
          <w:color w:val="000000"/>
          <w:kern w:val="0"/>
          <w:sz w:val="32"/>
          <w:szCs w:val="32"/>
        </w:rPr>
      </w:pPr>
      <w:r>
        <w:rPr>
          <w:rFonts w:hint="eastAsia" w:eastAsia="仿宋_GB2312"/>
          <w:color w:val="000000"/>
          <w:spacing w:val="3"/>
          <w:kern w:val="0"/>
          <w:sz w:val="32"/>
          <w:szCs w:val="32"/>
        </w:rPr>
        <w:t>（十二）管理全市的会计工作。监督和规范会计行为；</w:t>
      </w:r>
      <w:r>
        <w:rPr>
          <w:rFonts w:hint="eastAsia" w:eastAsia="仿宋_GB2312"/>
          <w:color w:val="000000"/>
          <w:kern w:val="0"/>
          <w:sz w:val="32"/>
          <w:szCs w:val="32"/>
        </w:rPr>
        <w:t>组织实施国家统一的会计制度；指导和监督注册会计师和会计师事务所的业务。</w:t>
      </w:r>
    </w:p>
    <w:p w14:paraId="7C6FE508">
      <w:pPr>
        <w:autoSpaceDE w:val="0"/>
        <w:autoSpaceDN w:val="0"/>
        <w:adjustRightInd w:val="0"/>
        <w:snapToGrid w:val="0"/>
        <w:spacing w:line="600" w:lineRule="exact"/>
        <w:ind w:firstLine="640" w:firstLineChars="200"/>
        <w:rPr>
          <w:rFonts w:eastAsia="仿宋_GB2312"/>
          <w:color w:val="000000"/>
          <w:spacing w:val="14"/>
          <w:kern w:val="0"/>
          <w:sz w:val="32"/>
          <w:szCs w:val="32"/>
        </w:rPr>
      </w:pPr>
      <w:r>
        <w:rPr>
          <w:rFonts w:hint="eastAsia" w:eastAsia="仿宋_GB2312"/>
          <w:color w:val="000000"/>
          <w:kern w:val="0"/>
          <w:sz w:val="32"/>
          <w:szCs w:val="32"/>
        </w:rPr>
        <w:t>（十三）</w:t>
      </w:r>
      <w:r>
        <w:rPr>
          <w:rFonts w:hint="eastAsia" w:eastAsia="仿宋_GB2312"/>
          <w:color w:val="000000"/>
          <w:spacing w:val="3"/>
          <w:kern w:val="0"/>
          <w:sz w:val="32"/>
          <w:szCs w:val="32"/>
        </w:rPr>
        <w:t>监督检查财税法规、政策的执行情况，反映财政收</w:t>
      </w:r>
      <w:r>
        <w:rPr>
          <w:rFonts w:hint="eastAsia" w:eastAsia="仿宋_GB2312"/>
          <w:color w:val="000000"/>
          <w:spacing w:val="14"/>
          <w:kern w:val="0"/>
          <w:sz w:val="32"/>
          <w:szCs w:val="32"/>
        </w:rPr>
        <w:t>支管理中的重大问题，提出加强财政管理的政策建议。</w:t>
      </w:r>
    </w:p>
    <w:p w14:paraId="6F2071B8">
      <w:pPr>
        <w:autoSpaceDE w:val="0"/>
        <w:autoSpaceDN w:val="0"/>
        <w:adjustRightInd w:val="0"/>
        <w:snapToGrid w:val="0"/>
        <w:spacing w:line="600" w:lineRule="exact"/>
        <w:ind w:firstLine="640" w:firstLineChars="200"/>
        <w:rPr>
          <w:rFonts w:eastAsia="仿宋_GB2312"/>
          <w:color w:val="000000"/>
          <w:kern w:val="0"/>
          <w:sz w:val="32"/>
          <w:szCs w:val="32"/>
        </w:rPr>
      </w:pPr>
      <w:r>
        <w:rPr>
          <w:rFonts w:hint="eastAsia" w:eastAsia="仿宋_GB2312"/>
          <w:color w:val="000000"/>
          <w:kern w:val="0"/>
          <w:sz w:val="32"/>
          <w:szCs w:val="32"/>
        </w:rPr>
        <w:t>（十四）承办市政府交办的其他事项。</w:t>
      </w:r>
    </w:p>
    <w:p w14:paraId="1F052E41">
      <w:pPr>
        <w:pStyle w:val="11"/>
        <w:widowControl/>
        <w:spacing w:line="620" w:lineRule="exact"/>
        <w:ind w:firstLine="627" w:firstLineChars="196"/>
        <w:contextualSpacing/>
        <w:rPr>
          <w:rFonts w:ascii="仿宋_GB2312" w:hAnsi="仿宋_GB2312" w:eastAsia="仿宋_GB2312"/>
          <w:kern w:val="0"/>
          <w:sz w:val="32"/>
          <w:szCs w:val="32"/>
        </w:rPr>
      </w:pPr>
      <w:r>
        <w:rPr>
          <w:rFonts w:hint="eastAsia" w:ascii="仿宋_GB2312" w:hAnsi="仿宋_GB2312" w:eastAsia="仿宋_GB2312"/>
          <w:bCs/>
          <w:kern w:val="0"/>
          <w:sz w:val="32"/>
          <w:szCs w:val="32"/>
        </w:rPr>
        <w:t>主要业务：思</w:t>
      </w:r>
      <w:r>
        <w:rPr>
          <w:rFonts w:hint="eastAsia" w:ascii="仿宋_GB2312" w:hAnsi="仿宋_GB2312" w:eastAsia="仿宋_GB2312"/>
          <w:kern w:val="0"/>
          <w:sz w:val="32"/>
          <w:szCs w:val="32"/>
        </w:rPr>
        <w:t>想建设、组织建设、参政议政、社会服务等。</w:t>
      </w:r>
    </w:p>
    <w:p w14:paraId="6AB7A65D">
      <w:pPr>
        <w:jc w:val="left"/>
        <w:rPr>
          <w:rFonts w:ascii="仿宋" w:hAnsi="仿宋" w:eastAsia="仿宋"/>
          <w:sz w:val="32"/>
          <w:szCs w:val="32"/>
        </w:rPr>
      </w:pPr>
      <w:r>
        <w:rPr>
          <w:rFonts w:hint="eastAsia" w:ascii="仿宋" w:hAnsi="仿宋" w:eastAsia="仿宋"/>
          <w:sz w:val="32"/>
          <w:szCs w:val="32"/>
        </w:rPr>
        <w:t>二、机构设置</w:t>
      </w:r>
    </w:p>
    <w:p w14:paraId="57257C19">
      <w:pPr>
        <w:pStyle w:val="13"/>
        <w:ind w:firstLine="627" w:firstLineChars="196"/>
        <w:rPr>
          <w:rFonts w:ascii="仿宋_GB2312" w:hAnsi="仿宋_GB2312"/>
          <w:kern w:val="0"/>
          <w:szCs w:val="32"/>
        </w:rPr>
      </w:pPr>
      <w:r>
        <w:rPr>
          <w:rFonts w:hint="eastAsia" w:ascii="仿宋_GB2312" w:hAnsi="仿宋_GB2312"/>
          <w:kern w:val="0"/>
          <w:szCs w:val="32"/>
        </w:rPr>
        <w:t>机构设置包括：办公室、预算科、国库科(国库集中支付中心)、监督科、会计科、行政政法科、教科文科、农财科(乡财科)、社保科、经建科、综合科、企财科、罚没业务管理所、采购办、信息中心、评审中心。</w:t>
      </w:r>
    </w:p>
    <w:p w14:paraId="1BBA1045">
      <w:pPr>
        <w:pStyle w:val="13"/>
        <w:ind w:firstLine="627" w:firstLineChars="196"/>
        <w:rPr>
          <w:rFonts w:ascii="仿宋_GB2312" w:hAnsi="仿宋_GB2312"/>
          <w:kern w:val="0"/>
          <w:szCs w:val="32"/>
        </w:rPr>
      </w:pPr>
      <w:r>
        <w:rPr>
          <w:rFonts w:hint="eastAsia" w:ascii="仿宋_GB2312" w:hAnsi="仿宋_GB2312"/>
          <w:kern w:val="0"/>
          <w:szCs w:val="32"/>
        </w:rPr>
        <w:t>人员情况：在职人员</w:t>
      </w:r>
      <w:r>
        <w:rPr>
          <w:rFonts w:hint="eastAsia" w:ascii="仿宋_GB2312" w:hAnsi="仿宋_GB2312"/>
          <w:kern w:val="0"/>
          <w:szCs w:val="32"/>
          <w:lang w:val="en-US" w:eastAsia="zh-CN"/>
        </w:rPr>
        <w:t>61</w:t>
      </w:r>
      <w:r>
        <w:rPr>
          <w:rFonts w:hint="eastAsia" w:ascii="仿宋_GB2312" w:hAnsi="仿宋_GB2312"/>
          <w:kern w:val="0"/>
          <w:szCs w:val="32"/>
        </w:rPr>
        <w:t>人，编制数</w:t>
      </w:r>
      <w:r>
        <w:rPr>
          <w:rFonts w:hint="eastAsia" w:ascii="仿宋_GB2312" w:hAnsi="仿宋_GB2312"/>
          <w:kern w:val="0"/>
          <w:szCs w:val="32"/>
          <w:lang w:val="en-US" w:eastAsia="zh-CN"/>
        </w:rPr>
        <w:t>85</w:t>
      </w:r>
      <w:r>
        <w:rPr>
          <w:rFonts w:hint="eastAsia" w:ascii="仿宋_GB2312" w:hAnsi="仿宋_GB2312"/>
          <w:kern w:val="0"/>
          <w:szCs w:val="32"/>
        </w:rPr>
        <w:t>人，领导职数</w:t>
      </w:r>
      <w:r>
        <w:rPr>
          <w:rFonts w:hint="eastAsia" w:ascii="仿宋_GB2312" w:hAnsi="仿宋_GB2312"/>
          <w:kern w:val="0"/>
          <w:szCs w:val="32"/>
          <w:lang w:val="en-US" w:eastAsia="zh-CN"/>
        </w:rPr>
        <w:t>10</w:t>
      </w:r>
      <w:r>
        <w:rPr>
          <w:rFonts w:hint="eastAsia" w:ascii="仿宋_GB2312" w:hAnsi="仿宋_GB2312"/>
          <w:kern w:val="0"/>
          <w:szCs w:val="32"/>
        </w:rPr>
        <w:t>个。</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2"/>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636.90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660.72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23.82 </w:t>
      </w:r>
      <w:r>
        <w:rPr>
          <w:rFonts w:hint="eastAsia" w:ascii="仿宋" w:hAnsi="仿宋" w:eastAsia="仿宋"/>
          <w:sz w:val="32"/>
          <w:szCs w:val="32"/>
          <w:highlight w:val="none"/>
        </w:rPr>
        <w:t>万元，主要原因：</w:t>
      </w:r>
      <w:r>
        <w:rPr>
          <w:rFonts w:hint="eastAsia" w:ascii="仿宋" w:hAnsi="仿宋" w:eastAsia="仿宋"/>
          <w:color w:val="auto"/>
          <w:sz w:val="32"/>
          <w:szCs w:val="32"/>
          <w:lang w:eastAsia="zh-CN"/>
        </w:rPr>
        <w:t>退休</w:t>
      </w:r>
      <w:r>
        <w:rPr>
          <w:rFonts w:hint="eastAsia" w:ascii="仿宋" w:hAnsi="仿宋" w:eastAsia="仿宋"/>
          <w:color w:val="auto"/>
          <w:sz w:val="32"/>
          <w:szCs w:val="32"/>
          <w:lang w:val="en-US" w:eastAsia="zh-CN"/>
        </w:rPr>
        <w:t>5人，调转2人，国资公司劳动技校项目费用减少</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573A0256">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2"/>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636.90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636.90万元，占100%；上年结转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493.26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77.45%；政府性基金收入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18B7FAB1">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636.90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636.90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636.90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636.90 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483.26</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68.44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32.85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52.35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69738522">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636.90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636.90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583.96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91.69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52.94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8.31</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483.26 万元，占75.88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行政单位人员工资、机构运行费及财政事务方面的项目支出等</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68.44 万元，占10.75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行政单位在职及离退休人员经费支出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32.85 万元，占5.16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行政单位基本医疗保险缴费支出</w:t>
      </w:r>
      <w:r>
        <w:rPr>
          <w:rFonts w:hint="eastAsia" w:ascii="仿宋" w:hAnsi="仿宋" w:eastAsia="仿宋"/>
          <w:sz w:val="32"/>
          <w:szCs w:val="32"/>
          <w:highlight w:val="none"/>
          <w:lang w:val="en-US" w:eastAsia="zh-CN"/>
        </w:rPr>
        <w:t>。</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52.35 万元，占14.39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val="en-US" w:eastAsia="zh-CN"/>
        </w:rPr>
        <w:t>行政单位为职工缴纳的住房公积金支出</w:t>
      </w:r>
      <w:r>
        <w:rPr>
          <w:rFonts w:hint="eastAsia" w:ascii="仿宋" w:hAnsi="仿宋" w:eastAsia="仿宋"/>
          <w:sz w:val="32"/>
          <w:szCs w:val="32"/>
          <w:highlight w:val="none"/>
          <w:lang w:val="en-US" w:eastAsia="zh-CN"/>
        </w:rPr>
        <w:t>。</w:t>
      </w: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39E2D860">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2025年一般公共预算基本支出636.90万元，其中：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583.96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10"/>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52.94</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51930B52">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3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w:t>
      </w:r>
    </w:p>
    <w:p w14:paraId="130EC309">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14:paraId="78C2E709">
      <w:pPr>
        <w:pStyle w:val="10"/>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p>
    <w:p w14:paraId="19793D94">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9"/>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 xml:space="preserve"> 52.94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1.73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3.67</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w:t>
      </w:r>
    </w:p>
    <w:p w14:paraId="508469CD">
      <w:pPr>
        <w:pStyle w:val="9"/>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9"/>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9"/>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4C90835">
      <w:pPr>
        <w:pStyle w:val="9"/>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万元，其中**。</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bookmarkStart w:id="0" w:name="_GoBack"/>
      <w:bookmarkEnd w:id="0"/>
      <w:r>
        <w:rPr>
          <w:rFonts w:hint="eastAsia" w:ascii="仿宋" w:hAnsi="仿宋" w:eastAsia="仿宋"/>
          <w:sz w:val="32"/>
          <w:szCs w:val="32"/>
          <w:highlight w:val="none"/>
        </w:rPr>
        <w:t>万元，项目内容为****主要目标为****。同时，将预算项目绩效目标进一步细化为绩效指标和指标值（附预算项目绩效目标申报表）。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5C4536"/>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99"/>
    <w:pPr>
      <w:jc w:val="center"/>
      <w:outlineLvl w:val="0"/>
    </w:pPr>
    <w:rPr>
      <w:rFonts w:ascii="Arial" w:hAnsi="Arial" w:cs="Arial"/>
      <w:b/>
      <w:bCs/>
      <w:sz w:val="32"/>
      <w:szCs w:val="32"/>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2839</Words>
  <Characters>3090</Characters>
  <Lines>19</Lines>
  <Paragraphs>5</Paragraphs>
  <TotalTime>2</TotalTime>
  <ScaleCrop>false</ScaleCrop>
  <LinksUpToDate>false</LinksUpToDate>
  <CharactersWithSpaces>3266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dcterms:modified xsi:type="dcterms:W3CDTF">2025-01-21T10:32:52Z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