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4D5BB">
      <w:pPr>
        <w:jc w:val="center"/>
        <w:rPr>
          <w:rFonts w:hint="eastAsia" w:ascii="黑体" w:hAnsi="黑体" w:eastAsia="黑体"/>
          <w:sz w:val="44"/>
          <w:szCs w:val="44"/>
          <w:highlight w:val="none"/>
          <w:lang w:val="en-US" w:eastAsia="zh-CN"/>
        </w:rPr>
      </w:pPr>
    </w:p>
    <w:p w14:paraId="6B4FF231">
      <w:pPr>
        <w:jc w:val="center"/>
        <w:rPr>
          <w:rFonts w:hint="eastAsia" w:ascii="黑体" w:hAnsi="黑体" w:eastAsia="黑体"/>
          <w:sz w:val="44"/>
          <w:szCs w:val="44"/>
          <w:highlight w:val="none"/>
          <w:lang w:val="en-US" w:eastAsia="zh-CN"/>
        </w:rPr>
      </w:pPr>
    </w:p>
    <w:p w14:paraId="53A41C21">
      <w:pPr>
        <w:jc w:val="center"/>
        <w:rPr>
          <w:rFonts w:hint="eastAsia" w:ascii="黑体" w:hAnsi="黑体" w:eastAsia="黑体"/>
          <w:sz w:val="44"/>
          <w:szCs w:val="44"/>
          <w:highlight w:val="none"/>
          <w:lang w:val="en-US" w:eastAsia="zh-CN"/>
        </w:rPr>
      </w:pPr>
      <w:bookmarkStart w:id="0" w:name="_GoBack"/>
      <w:bookmarkEnd w:id="0"/>
    </w:p>
    <w:p w14:paraId="793DC051">
      <w:pPr>
        <w:jc w:val="center"/>
        <w:rPr>
          <w:rFonts w:hint="eastAsia" w:ascii="黑体" w:hAnsi="黑体" w:eastAsia="黑体"/>
          <w:sz w:val="44"/>
          <w:szCs w:val="44"/>
          <w:highlight w:val="none"/>
          <w:lang w:val="en-US" w:eastAsia="zh-CN"/>
        </w:rPr>
      </w:pPr>
    </w:p>
    <w:p w14:paraId="233E8CB2">
      <w:pPr>
        <w:jc w:val="center"/>
        <w:rPr>
          <w:rFonts w:hint="eastAsia" w:ascii="黑体" w:hAnsi="黑体" w:eastAsia="黑体"/>
          <w:sz w:val="44"/>
          <w:szCs w:val="44"/>
          <w:highlight w:val="none"/>
          <w:lang w:val="en-US" w:eastAsia="zh-CN"/>
        </w:rPr>
      </w:pPr>
    </w:p>
    <w:p w14:paraId="6063664F">
      <w:pPr>
        <w:ind w:firstLine="1040"/>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蛟河市物业管理中心</w:t>
      </w:r>
    </w:p>
    <w:p w14:paraId="079B4ECE">
      <w:pPr>
        <w:ind w:firstLine="1040"/>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599C6C31">
      <w:pPr>
        <w:jc w:val="center"/>
        <w:rPr>
          <w:rFonts w:hint="eastAsia" w:ascii="黑体" w:hAnsi="黑体" w:eastAsia="黑体"/>
          <w:sz w:val="44"/>
          <w:szCs w:val="44"/>
          <w:highlight w:val="none"/>
        </w:rPr>
      </w:pPr>
    </w:p>
    <w:p w14:paraId="0C666B65">
      <w:pPr>
        <w:jc w:val="center"/>
        <w:rPr>
          <w:rFonts w:hint="eastAsia" w:ascii="黑体" w:hAnsi="黑体" w:eastAsia="黑体"/>
          <w:sz w:val="44"/>
          <w:szCs w:val="44"/>
          <w:highlight w:val="none"/>
        </w:rPr>
      </w:pPr>
    </w:p>
    <w:p w14:paraId="6C54FB77">
      <w:pPr>
        <w:jc w:val="center"/>
        <w:rPr>
          <w:rFonts w:hint="eastAsia" w:ascii="黑体" w:hAnsi="黑体" w:eastAsia="黑体"/>
          <w:sz w:val="44"/>
          <w:szCs w:val="44"/>
          <w:highlight w:val="none"/>
        </w:rPr>
      </w:pPr>
    </w:p>
    <w:p w14:paraId="0F9CE173">
      <w:pPr>
        <w:jc w:val="center"/>
        <w:rPr>
          <w:rFonts w:hint="eastAsia" w:ascii="黑体" w:hAnsi="黑体" w:eastAsia="黑体"/>
          <w:sz w:val="44"/>
          <w:szCs w:val="44"/>
          <w:highlight w:val="none"/>
        </w:rPr>
      </w:pPr>
    </w:p>
    <w:p w14:paraId="691372F0">
      <w:pPr>
        <w:jc w:val="center"/>
        <w:rPr>
          <w:rFonts w:hint="eastAsia" w:ascii="黑体" w:hAnsi="黑体" w:eastAsia="黑体"/>
          <w:sz w:val="44"/>
          <w:szCs w:val="44"/>
          <w:highlight w:val="none"/>
        </w:rPr>
      </w:pPr>
    </w:p>
    <w:p w14:paraId="187CC091">
      <w:pPr>
        <w:jc w:val="center"/>
        <w:rPr>
          <w:rFonts w:hint="eastAsia" w:ascii="黑体" w:hAnsi="黑体" w:eastAsia="黑体"/>
          <w:sz w:val="44"/>
          <w:szCs w:val="44"/>
          <w:highlight w:val="none"/>
        </w:rPr>
      </w:pPr>
    </w:p>
    <w:p w14:paraId="1C26E67F">
      <w:pPr>
        <w:jc w:val="center"/>
        <w:rPr>
          <w:rFonts w:hint="eastAsia" w:ascii="黑体" w:hAnsi="黑体" w:eastAsia="黑体"/>
          <w:sz w:val="44"/>
          <w:szCs w:val="44"/>
          <w:highlight w:val="none"/>
        </w:rPr>
      </w:pPr>
    </w:p>
    <w:p w14:paraId="295C9554">
      <w:pPr>
        <w:jc w:val="center"/>
        <w:rPr>
          <w:rFonts w:hint="eastAsia" w:ascii="黑体" w:hAnsi="黑体" w:eastAsia="黑体"/>
          <w:sz w:val="44"/>
          <w:szCs w:val="44"/>
          <w:highlight w:val="none"/>
        </w:rPr>
      </w:pPr>
    </w:p>
    <w:p w14:paraId="3D1942B5">
      <w:pPr>
        <w:jc w:val="center"/>
        <w:rPr>
          <w:rFonts w:hint="eastAsia" w:ascii="黑体" w:hAnsi="黑体" w:eastAsia="黑体"/>
          <w:sz w:val="44"/>
          <w:szCs w:val="44"/>
          <w:highlight w:val="none"/>
        </w:rPr>
      </w:pPr>
    </w:p>
    <w:p w14:paraId="3D5E7C43">
      <w:pPr>
        <w:jc w:val="center"/>
        <w:rPr>
          <w:rFonts w:hint="eastAsia" w:ascii="黑体" w:hAnsi="黑体" w:eastAsia="黑体"/>
          <w:sz w:val="44"/>
          <w:szCs w:val="44"/>
          <w:highlight w:val="none"/>
        </w:rPr>
      </w:pPr>
    </w:p>
    <w:p w14:paraId="0482D872">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1293D2AA">
      <w:pPr>
        <w:jc w:val="center"/>
        <w:rPr>
          <w:rFonts w:hint="eastAsia" w:ascii="黑体" w:hAnsi="黑体" w:eastAsia="黑体"/>
          <w:sz w:val="44"/>
          <w:szCs w:val="44"/>
          <w:highlight w:val="none"/>
        </w:rPr>
      </w:pPr>
    </w:p>
    <w:p w14:paraId="53C27F4F">
      <w:pPr>
        <w:jc w:val="center"/>
        <w:rPr>
          <w:rFonts w:hint="eastAsia" w:ascii="黑体" w:hAnsi="黑体" w:eastAsia="黑体"/>
          <w:sz w:val="44"/>
          <w:szCs w:val="44"/>
          <w:highlight w:val="none"/>
        </w:rPr>
      </w:pPr>
    </w:p>
    <w:p w14:paraId="6CE73E2E">
      <w:pPr>
        <w:jc w:val="center"/>
        <w:rPr>
          <w:rFonts w:hint="eastAsia" w:ascii="黑体" w:hAnsi="黑体" w:eastAsia="黑体"/>
          <w:sz w:val="44"/>
          <w:szCs w:val="44"/>
          <w:highlight w:val="none"/>
        </w:rPr>
      </w:pPr>
    </w:p>
    <w:p w14:paraId="519923EA">
      <w:pPr>
        <w:jc w:val="center"/>
        <w:rPr>
          <w:rFonts w:hint="eastAsia" w:ascii="黑体" w:hAnsi="黑体" w:eastAsia="黑体"/>
          <w:sz w:val="44"/>
          <w:szCs w:val="44"/>
          <w:highlight w:val="none"/>
        </w:rPr>
      </w:pPr>
    </w:p>
    <w:p w14:paraId="688ED91B">
      <w:pPr>
        <w:jc w:val="center"/>
        <w:rPr>
          <w:rFonts w:hint="eastAsia" w:ascii="黑体" w:hAnsi="黑体" w:eastAsia="黑体"/>
          <w:sz w:val="44"/>
          <w:szCs w:val="44"/>
          <w:highlight w:val="none"/>
        </w:rPr>
      </w:pPr>
    </w:p>
    <w:p w14:paraId="03638ED5">
      <w:pPr>
        <w:jc w:val="center"/>
        <w:rPr>
          <w:rFonts w:hint="eastAsia" w:ascii="黑体" w:hAnsi="黑体" w:eastAsia="黑体"/>
          <w:sz w:val="44"/>
          <w:szCs w:val="44"/>
          <w:highlight w:val="none"/>
        </w:rPr>
      </w:pPr>
    </w:p>
    <w:p w14:paraId="5B02AD3E">
      <w:pPr>
        <w:jc w:val="center"/>
        <w:rPr>
          <w:rFonts w:ascii="黑体" w:hAnsi="黑体" w:eastAsia="黑体"/>
          <w:sz w:val="44"/>
          <w:szCs w:val="44"/>
          <w:highlight w:val="none"/>
        </w:rPr>
      </w:pPr>
      <w:r>
        <w:rPr>
          <w:rFonts w:hint="eastAsia" w:ascii="黑体" w:hAnsi="黑体" w:eastAsia="黑体"/>
          <w:sz w:val="44"/>
          <w:szCs w:val="44"/>
        </w:rPr>
        <w:t>蛟河市物业管理中心</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33D19C9F">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6E7442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4F28EBF4">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7BFA10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1CF526F">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AFF6E3B">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AA5A214">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11F81E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B998DF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87C9AB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A953FA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C68C9F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5636537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31AEE89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494BFCB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686EEBF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5E45A89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076E4A2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6FD0A663">
      <w:pPr>
        <w:rPr>
          <w:rFonts w:ascii="仿宋" w:hAnsi="仿宋" w:eastAsia="仿宋"/>
          <w:sz w:val="32"/>
          <w:szCs w:val="32"/>
          <w:highlight w:val="none"/>
        </w:rPr>
      </w:pPr>
    </w:p>
    <w:p w14:paraId="367C99DA">
      <w:pPr>
        <w:rPr>
          <w:rFonts w:ascii="仿宋" w:hAnsi="仿宋" w:eastAsia="仿宋"/>
          <w:sz w:val="32"/>
          <w:szCs w:val="32"/>
          <w:highlight w:val="none"/>
        </w:rPr>
      </w:pPr>
    </w:p>
    <w:p w14:paraId="1A9D88E3">
      <w:pPr>
        <w:rPr>
          <w:rFonts w:ascii="仿宋" w:hAnsi="仿宋" w:eastAsia="仿宋"/>
          <w:sz w:val="32"/>
          <w:szCs w:val="32"/>
          <w:highlight w:val="none"/>
        </w:rPr>
      </w:pPr>
    </w:p>
    <w:p w14:paraId="2F365E98">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37EE32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7FBD122">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222300E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蛟河市物业管理中心</w:t>
      </w:r>
    </w:p>
    <w:p w14:paraId="0C972980">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2014</w:t>
      </w:r>
      <w:r>
        <w:rPr>
          <w:rFonts w:hint="eastAsia" w:ascii="仿宋" w:hAnsi="仿宋" w:eastAsia="仿宋"/>
          <w:bCs/>
          <w:kern w:val="0"/>
          <w:sz w:val="32"/>
          <w:szCs w:val="32"/>
        </w:rPr>
        <w:t>年</w:t>
      </w:r>
    </w:p>
    <w:p w14:paraId="752A9244">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蛟河市物业管理中心</w:t>
      </w:r>
      <w:r>
        <w:rPr>
          <w:rFonts w:hint="eastAsia" w:ascii="仿宋" w:hAnsi="仿宋" w:eastAsia="仿宋"/>
          <w:bCs/>
          <w:kern w:val="0"/>
          <w:sz w:val="32"/>
          <w:szCs w:val="32"/>
        </w:rPr>
        <w:t>是为适应社会公益服务事业发展的需要设立，为隶属于蛟河市住房和城乡建设局的公益一类事业单位。</w:t>
      </w:r>
      <w:r>
        <w:rPr>
          <w:rFonts w:hint="eastAsia" w:ascii="仿宋" w:hAnsi="仿宋" w:eastAsia="仿宋"/>
          <w:kern w:val="0"/>
          <w:sz w:val="32"/>
          <w:szCs w:val="32"/>
        </w:rPr>
        <w:t>根据中央和省关于公益一类事业单位改革的要求，强化公益属性，进一步理顺体制，完善机制，健全制度，不断提高公益服务水平和效益。</w:t>
      </w:r>
    </w:p>
    <w:p w14:paraId="7E0D5765">
      <w:pPr>
        <w:pStyle w:val="10"/>
        <w:widowControl/>
        <w:numPr>
          <w:ilvl w:val="0"/>
          <w:numId w:val="0"/>
        </w:numPr>
        <w:spacing w:line="620" w:lineRule="exact"/>
        <w:ind w:firstLine="960" w:firstLineChars="3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1C2B749C">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负责宣传贯彻执行国家、省有关物业管理的政策规定，制定全市物业管理长远规划和年度工作计划，并组织实施。</w:t>
      </w:r>
    </w:p>
    <w:p w14:paraId="00CA4C80">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负责对物业服务企业资质进行初审、考核、年审，审查物业服务企业的工作方案，监督其展开工作。</w:t>
      </w:r>
    </w:p>
    <w:p w14:paraId="28FF6253">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负责指导、监督小区物业管理的招投标工作。</w:t>
      </w:r>
    </w:p>
    <w:p w14:paraId="38D6E24E">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负责指导协调街道、社区、物业服务企业，做好住宅小区业主委员会的筹建、登记以及物业服务委托合同的备案管理。指导业主大会或业主委员会开展工作。</w:t>
      </w:r>
    </w:p>
    <w:p w14:paraId="04D4980F">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负责建立和完善物业管理制度，组织物业从业人员、业主委员会成员职业资格培训，发放从业资格证书。参与新建小区建设方案和旧住宅小区改造方案的审查工作。</w:t>
      </w:r>
    </w:p>
    <w:p w14:paraId="6C2C8CAD">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对新建商品房和公房出售按规定收取物业维修资金，监督审批对物业维修资金的使用；按照国家、省、市相关规定向开发建设单位收取物业维修资金和物业维修保障金，收取的标准分别是：物业维修资金抵押金按房屋总造价的5</w:t>
      </w:r>
      <w:r>
        <w:rPr>
          <w:rFonts w:ascii="Arial" w:hAnsi="Arial" w:eastAsia="仿宋" w:cs="Arial"/>
          <w:bCs/>
          <w:kern w:val="0"/>
          <w:sz w:val="32"/>
          <w:szCs w:val="32"/>
        </w:rPr>
        <w:t>‰</w:t>
      </w:r>
      <w:r>
        <w:rPr>
          <w:rFonts w:hint="eastAsia" w:ascii="仿宋" w:hAnsi="仿宋" w:eastAsia="仿宋"/>
          <w:bCs/>
          <w:kern w:val="0"/>
          <w:sz w:val="32"/>
          <w:szCs w:val="32"/>
        </w:rPr>
        <w:t>收取，物业维修保证金按工程造价的2%收取。</w:t>
      </w:r>
    </w:p>
    <w:p w14:paraId="6FA39F4B">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会同相关部门对新建房地产项目进行综合验收，组织物业公司与房地产开发企业物业移交和达标验收工作。依据相关规定监督开发建设单位按建筑面积的4</w:t>
      </w:r>
      <w:r>
        <w:rPr>
          <w:rFonts w:ascii="Arial" w:hAnsi="Arial" w:eastAsia="仿宋" w:cs="Arial"/>
          <w:bCs/>
          <w:kern w:val="0"/>
          <w:sz w:val="32"/>
          <w:szCs w:val="32"/>
        </w:rPr>
        <w:t>‰</w:t>
      </w:r>
      <w:r>
        <w:rPr>
          <w:rFonts w:hint="eastAsia" w:ascii="仿宋" w:hAnsi="仿宋" w:eastAsia="仿宋"/>
          <w:bCs/>
          <w:kern w:val="0"/>
          <w:sz w:val="32"/>
          <w:szCs w:val="32"/>
        </w:rPr>
        <w:t>提供物业用房。</w:t>
      </w:r>
    </w:p>
    <w:p w14:paraId="508D700F">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监督房地产开发企业、物业服务企业和业主之间的物业服务协议、业户公约的履行情况，仲裁物业管理纠纷，受理物业管理投诉，查处物业管理方面的违规行为。</w:t>
      </w:r>
    </w:p>
    <w:p w14:paraId="54269C06">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0CC713F8">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根据所承担的工作职责和编制总量，蛟河市</w:t>
      </w:r>
      <w:r>
        <w:rPr>
          <w:rFonts w:hint="eastAsia" w:ascii="仿宋" w:hAnsi="仿宋" w:eastAsia="仿宋"/>
          <w:kern w:val="0"/>
          <w:szCs w:val="32"/>
          <w:lang w:val="en-US" w:eastAsia="zh-CN"/>
        </w:rPr>
        <w:t>物业管理中心</w:t>
      </w:r>
      <w:r>
        <w:rPr>
          <w:rFonts w:hint="eastAsia" w:ascii="仿宋" w:hAnsi="仿宋" w:eastAsia="仿宋"/>
          <w:kern w:val="0"/>
          <w:szCs w:val="32"/>
        </w:rPr>
        <w:t>无内设机构；</w:t>
      </w:r>
    </w:p>
    <w:p w14:paraId="628A6B7E">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8</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7B25BE2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C3C28FF">
      <w:pPr>
        <w:jc w:val="left"/>
        <w:rPr>
          <w:rFonts w:ascii="仿宋" w:hAnsi="仿宋" w:eastAsia="仿宋"/>
          <w:sz w:val="32"/>
          <w:szCs w:val="32"/>
          <w:highlight w:val="none"/>
        </w:rPr>
      </w:pPr>
    </w:p>
    <w:p w14:paraId="514A80F9">
      <w:pPr>
        <w:jc w:val="left"/>
        <w:rPr>
          <w:rFonts w:ascii="仿宋" w:hAnsi="仿宋" w:eastAsia="仿宋"/>
          <w:sz w:val="32"/>
          <w:szCs w:val="32"/>
          <w:highlight w:val="none"/>
        </w:rPr>
      </w:pPr>
    </w:p>
    <w:p w14:paraId="068E4B44">
      <w:pPr>
        <w:jc w:val="left"/>
        <w:rPr>
          <w:rFonts w:ascii="仿宋" w:hAnsi="仿宋" w:eastAsia="仿宋"/>
          <w:sz w:val="32"/>
          <w:szCs w:val="32"/>
          <w:highlight w:val="none"/>
        </w:rPr>
      </w:pPr>
    </w:p>
    <w:p w14:paraId="493D8069">
      <w:pPr>
        <w:jc w:val="left"/>
        <w:rPr>
          <w:rFonts w:ascii="仿宋" w:hAnsi="仿宋" w:eastAsia="仿宋"/>
          <w:sz w:val="32"/>
          <w:szCs w:val="32"/>
          <w:highlight w:val="none"/>
        </w:rPr>
      </w:pPr>
    </w:p>
    <w:p w14:paraId="58176D7D">
      <w:pPr>
        <w:jc w:val="left"/>
        <w:rPr>
          <w:rFonts w:ascii="仿宋" w:hAnsi="仿宋" w:eastAsia="仿宋"/>
          <w:sz w:val="32"/>
          <w:szCs w:val="32"/>
          <w:highlight w:val="none"/>
        </w:rPr>
      </w:pPr>
    </w:p>
    <w:p w14:paraId="4EFC1AF7">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356ABD3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1A5209C">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645DBFDF">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153.49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增加0.53</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单位在职人员工资调整</w:t>
      </w:r>
      <w:r>
        <w:rPr>
          <w:rFonts w:hint="eastAsia" w:ascii="仿宋" w:hAnsi="仿宋" w:eastAsia="仿宋"/>
          <w:sz w:val="32"/>
          <w:szCs w:val="32"/>
          <w:highlight w:val="none"/>
          <w:lang w:eastAsia="zh-CN"/>
        </w:rPr>
        <w:t>。</w:t>
      </w:r>
    </w:p>
    <w:p w14:paraId="72A2075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433BDE08">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154.02万元，占100%；上年结转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58341E19">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5E57C1E3">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3B0DD9DD">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1B5B58B8">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154.02万元，上年结转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城乡社区支出114.2万元，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18.08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8.52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13.22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62B895C5">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604AECE">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154.02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150.01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2.6</w:t>
      </w:r>
      <w:r>
        <w:rPr>
          <w:rFonts w:hint="eastAsia" w:ascii="仿宋" w:hAnsi="仿宋" w:eastAsia="仿宋"/>
          <w:sz w:val="32"/>
          <w:szCs w:val="32"/>
          <w:highlight w:val="none"/>
        </w:rPr>
        <w:t>%。</w:t>
      </w:r>
    </w:p>
    <w:p w14:paraId="218257D5">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114.2</w:t>
      </w:r>
      <w:r>
        <w:rPr>
          <w:rFonts w:hint="eastAsia" w:ascii="仿宋" w:hAnsi="仿宋" w:eastAsia="仿宋"/>
          <w:sz w:val="32"/>
          <w:szCs w:val="32"/>
        </w:rPr>
        <w:t>万元，占</w:t>
      </w:r>
      <w:r>
        <w:rPr>
          <w:rFonts w:hint="eastAsia" w:ascii="仿宋" w:hAnsi="仿宋" w:eastAsia="仿宋"/>
          <w:sz w:val="32"/>
          <w:szCs w:val="32"/>
          <w:lang w:val="en-US" w:eastAsia="zh-CN"/>
        </w:rPr>
        <w:t>74.1</w:t>
      </w:r>
      <w:r>
        <w:rPr>
          <w:rFonts w:hint="eastAsia" w:ascii="仿宋" w:hAnsi="仿宋" w:eastAsia="仿宋"/>
          <w:sz w:val="32"/>
          <w:szCs w:val="32"/>
        </w:rPr>
        <w:t>%，主要用于：人员工资、经费支出。</w:t>
      </w:r>
    </w:p>
    <w:p w14:paraId="7377D07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社会保障和就业（类）支出18.08万元，占11.7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2CFBBC3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卫生健康（类）支出8.52万元，占5.5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701602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住房保障（类）支出13.22万元，占8.7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2B32642B">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4619781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154.02万元，其中：</w:t>
      </w:r>
    </w:p>
    <w:p w14:paraId="22FD3A7C">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150.01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1FA5ACC">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4.01</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5AB3AE9">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3C64910B">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4A683841">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7E403219">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41F16B6B">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0823A25B">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2B1BDD44">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7B04E43F">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281AA3D8">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3639BB36">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53600EBF">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1BD5567">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50DC7A2E">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477A55C4">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1602A225">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06CBE2E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2327DDAF">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7BDBB278">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3A19F2FD">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28ED6536">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7B8000CC">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2D080D9E">
      <w:pPr>
        <w:jc w:val="left"/>
        <w:rPr>
          <w:rFonts w:ascii="仿宋" w:hAnsi="仿宋" w:eastAsia="仿宋"/>
          <w:sz w:val="32"/>
          <w:szCs w:val="32"/>
          <w:highlight w:val="none"/>
        </w:rPr>
      </w:pPr>
    </w:p>
    <w:p w14:paraId="761D726E">
      <w:pPr>
        <w:jc w:val="center"/>
        <w:rPr>
          <w:rFonts w:ascii="仿宋" w:hAnsi="仿宋" w:eastAsia="仿宋"/>
          <w:sz w:val="32"/>
          <w:szCs w:val="32"/>
          <w:highlight w:val="none"/>
        </w:rPr>
      </w:pPr>
    </w:p>
    <w:p w14:paraId="26DF5185">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2FF852DB">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9A76729">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457B54F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1D5F239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2D6B99F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5C8F563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266B14C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3C6B84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3905C0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FBD5A5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AFB0CE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BD3712B">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66921DC0">
      <w:pPr>
        <w:ind w:firstLine="640" w:firstLineChars="200"/>
        <w:rPr>
          <w:rFonts w:ascii="仿宋_GB2312" w:eastAsia="仿宋_GB2312"/>
          <w:sz w:val="32"/>
          <w:szCs w:val="32"/>
          <w:highlight w:val="none"/>
        </w:rPr>
      </w:pPr>
    </w:p>
    <w:p w14:paraId="5F905F02">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7E842CC">
      <w:pPr>
        <w:jc w:val="left"/>
        <w:rPr>
          <w:rFonts w:ascii="仿宋" w:hAnsi="仿宋" w:eastAsia="仿宋"/>
          <w:sz w:val="32"/>
          <w:szCs w:val="32"/>
          <w:highlight w:val="none"/>
        </w:rPr>
      </w:pPr>
    </w:p>
    <w:p w14:paraId="265D1821">
      <w:pPr>
        <w:jc w:val="left"/>
        <w:rPr>
          <w:rFonts w:ascii="仿宋" w:hAnsi="仿宋" w:eastAsia="仿宋"/>
          <w:sz w:val="32"/>
          <w:szCs w:val="32"/>
          <w:highlight w:val="none"/>
        </w:rPr>
      </w:pPr>
    </w:p>
    <w:p w14:paraId="3E59238F">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F522827">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2349EAAD">
      <w:pPr>
        <w:rPr>
          <w:rFonts w:ascii="仿宋" w:hAnsi="仿宋" w:eastAsia="仿宋"/>
          <w:sz w:val="32"/>
          <w:szCs w:val="32"/>
          <w:highlight w:val="none"/>
        </w:rPr>
      </w:pPr>
    </w:p>
    <w:p w14:paraId="05F0FA4E">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0B5E74"/>
    <w:multiLevelType w:val="singleLevel"/>
    <w:tmpl w:val="FF0B5E74"/>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8B2013"/>
    <w:rsid w:val="07C71E05"/>
    <w:rsid w:val="08817058"/>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2E47F1"/>
    <w:rsid w:val="385B501F"/>
    <w:rsid w:val="38DE30B8"/>
    <w:rsid w:val="39284901"/>
    <w:rsid w:val="3A482539"/>
    <w:rsid w:val="3A915046"/>
    <w:rsid w:val="3C172650"/>
    <w:rsid w:val="3C4C15D1"/>
    <w:rsid w:val="3CEA5A8A"/>
    <w:rsid w:val="3D897F97"/>
    <w:rsid w:val="3DA7578C"/>
    <w:rsid w:val="3F356B12"/>
    <w:rsid w:val="3F597259"/>
    <w:rsid w:val="3F6B774D"/>
    <w:rsid w:val="42202CED"/>
    <w:rsid w:val="426F369B"/>
    <w:rsid w:val="42CB20E1"/>
    <w:rsid w:val="430260DD"/>
    <w:rsid w:val="442476FC"/>
    <w:rsid w:val="442F01B5"/>
    <w:rsid w:val="46C17DAD"/>
    <w:rsid w:val="46F64D5D"/>
    <w:rsid w:val="488249D8"/>
    <w:rsid w:val="499053D7"/>
    <w:rsid w:val="49B81F53"/>
    <w:rsid w:val="4AAC7860"/>
    <w:rsid w:val="4D0265B8"/>
    <w:rsid w:val="4D8021B9"/>
    <w:rsid w:val="4DFF6777"/>
    <w:rsid w:val="4EB752BA"/>
    <w:rsid w:val="4ED6365B"/>
    <w:rsid w:val="4F5E1E42"/>
    <w:rsid w:val="4F735000"/>
    <w:rsid w:val="50F75E7E"/>
    <w:rsid w:val="51436F0F"/>
    <w:rsid w:val="519D4F00"/>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3250</Words>
  <Characters>3508</Characters>
  <Lines>19</Lines>
  <Paragraphs>5</Paragraphs>
  <TotalTime>8</TotalTime>
  <ScaleCrop>false</ScaleCrop>
  <LinksUpToDate>false</LinksUpToDate>
  <CharactersWithSpaces>3623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2025-01-19T10:36:48Z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75F0510416B34CB0A4EE03AF1B46351C_13</vt:lpwstr>
  </property>
  <property fmtid="{D5CDD505-2E9C-101B-9397-08002B2CF9AE}" pid="4" name="KSOTemplateDocerSaveRecord">
    <vt:lpwstr>eyJoZGlkIjoiNWMyNjllMmU0YTcwZjNhMTY0NmE1Zjk3MGY5NmI4MWYiLCJ1c2VySWQiOiI0NTg0NDMyNzUifQ==</vt:lpwstr>
  </property>
</Properties>
</file>