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9F8D6">
      <w:pPr>
        <w:jc w:val="center"/>
        <w:rPr>
          <w:rFonts w:hint="eastAsia" w:ascii="黑体" w:hAnsi="黑体" w:eastAsia="黑体"/>
          <w:sz w:val="44"/>
          <w:szCs w:val="44"/>
          <w:highlight w:val="none"/>
          <w:lang w:val="en-US" w:eastAsia="zh-CN"/>
        </w:rPr>
      </w:pPr>
    </w:p>
    <w:p w14:paraId="5E0A7F26">
      <w:pPr>
        <w:jc w:val="center"/>
        <w:rPr>
          <w:rFonts w:hint="eastAsia" w:ascii="黑体" w:hAnsi="黑体" w:eastAsia="黑体"/>
          <w:sz w:val="44"/>
          <w:szCs w:val="44"/>
          <w:highlight w:val="none"/>
          <w:lang w:val="en-US" w:eastAsia="zh-CN"/>
        </w:rPr>
      </w:pPr>
    </w:p>
    <w:p w14:paraId="76097553">
      <w:pPr>
        <w:jc w:val="center"/>
        <w:rPr>
          <w:rFonts w:hint="eastAsia" w:ascii="黑体" w:hAnsi="黑体" w:eastAsia="黑体"/>
          <w:sz w:val="44"/>
          <w:szCs w:val="44"/>
          <w:highlight w:val="none"/>
          <w:lang w:val="en-US" w:eastAsia="zh-CN"/>
        </w:rPr>
      </w:pPr>
    </w:p>
    <w:p w14:paraId="3F2B4C4C">
      <w:pPr>
        <w:jc w:val="center"/>
        <w:rPr>
          <w:rFonts w:hint="eastAsia" w:ascii="黑体" w:hAnsi="黑体" w:eastAsia="黑体"/>
          <w:sz w:val="44"/>
          <w:szCs w:val="44"/>
          <w:highlight w:val="none"/>
          <w:lang w:val="en-US" w:eastAsia="zh-CN"/>
        </w:rPr>
      </w:pPr>
    </w:p>
    <w:p w14:paraId="443880E5">
      <w:pPr>
        <w:jc w:val="center"/>
        <w:rPr>
          <w:rFonts w:hint="eastAsia" w:ascii="黑体" w:hAnsi="黑体" w:eastAsia="黑体"/>
          <w:sz w:val="44"/>
          <w:szCs w:val="44"/>
          <w:highlight w:val="none"/>
          <w:lang w:val="en-US" w:eastAsia="zh-CN"/>
        </w:rPr>
      </w:pPr>
    </w:p>
    <w:p w14:paraId="121817CC">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 xml:space="preserve">   蛟河市住房和城乡建设局（汇总）2025年部门预算</w:t>
      </w:r>
    </w:p>
    <w:p w14:paraId="156EC13F">
      <w:pPr>
        <w:jc w:val="center"/>
        <w:rPr>
          <w:rFonts w:hint="eastAsia" w:ascii="黑体" w:hAnsi="黑体" w:eastAsia="黑体"/>
          <w:sz w:val="44"/>
          <w:szCs w:val="44"/>
          <w:highlight w:val="none"/>
        </w:rPr>
      </w:pPr>
    </w:p>
    <w:p w14:paraId="65FACB6B">
      <w:pPr>
        <w:jc w:val="center"/>
        <w:rPr>
          <w:rFonts w:hint="eastAsia" w:ascii="黑体" w:hAnsi="黑体" w:eastAsia="黑体"/>
          <w:sz w:val="44"/>
          <w:szCs w:val="44"/>
          <w:highlight w:val="none"/>
        </w:rPr>
      </w:pPr>
    </w:p>
    <w:p w14:paraId="3E86CB30">
      <w:pPr>
        <w:jc w:val="center"/>
        <w:rPr>
          <w:rFonts w:hint="eastAsia" w:ascii="黑体" w:hAnsi="黑体" w:eastAsia="黑体"/>
          <w:sz w:val="44"/>
          <w:szCs w:val="44"/>
          <w:highlight w:val="none"/>
        </w:rPr>
      </w:pPr>
    </w:p>
    <w:p w14:paraId="402E3595">
      <w:pPr>
        <w:jc w:val="center"/>
        <w:rPr>
          <w:rFonts w:hint="eastAsia" w:ascii="黑体" w:hAnsi="黑体" w:eastAsia="黑体"/>
          <w:sz w:val="44"/>
          <w:szCs w:val="44"/>
          <w:highlight w:val="none"/>
        </w:rPr>
      </w:pPr>
    </w:p>
    <w:p w14:paraId="462147B0">
      <w:pPr>
        <w:jc w:val="center"/>
        <w:rPr>
          <w:rFonts w:hint="eastAsia" w:ascii="黑体" w:hAnsi="黑体" w:eastAsia="黑体"/>
          <w:sz w:val="44"/>
          <w:szCs w:val="44"/>
          <w:highlight w:val="none"/>
        </w:rPr>
      </w:pPr>
    </w:p>
    <w:p w14:paraId="00F59203">
      <w:pPr>
        <w:jc w:val="center"/>
        <w:rPr>
          <w:rFonts w:hint="eastAsia" w:ascii="黑体" w:hAnsi="黑体" w:eastAsia="黑体"/>
          <w:sz w:val="44"/>
          <w:szCs w:val="44"/>
          <w:highlight w:val="none"/>
        </w:rPr>
      </w:pPr>
    </w:p>
    <w:p w14:paraId="44D55C21">
      <w:pPr>
        <w:jc w:val="center"/>
        <w:rPr>
          <w:rFonts w:hint="eastAsia" w:ascii="黑体" w:hAnsi="黑体" w:eastAsia="黑体"/>
          <w:sz w:val="44"/>
          <w:szCs w:val="44"/>
          <w:highlight w:val="none"/>
        </w:rPr>
      </w:pPr>
    </w:p>
    <w:p w14:paraId="69B2306D">
      <w:pPr>
        <w:jc w:val="center"/>
        <w:rPr>
          <w:rFonts w:hint="eastAsia" w:ascii="黑体" w:hAnsi="黑体" w:eastAsia="黑体"/>
          <w:sz w:val="44"/>
          <w:szCs w:val="44"/>
          <w:highlight w:val="none"/>
        </w:rPr>
      </w:pPr>
    </w:p>
    <w:p w14:paraId="780294BD">
      <w:pPr>
        <w:jc w:val="center"/>
        <w:rPr>
          <w:rFonts w:hint="eastAsia" w:ascii="黑体" w:hAnsi="黑体" w:eastAsia="黑体"/>
          <w:sz w:val="44"/>
          <w:szCs w:val="44"/>
          <w:highlight w:val="none"/>
        </w:rPr>
      </w:pPr>
    </w:p>
    <w:p w14:paraId="053FF389">
      <w:pPr>
        <w:jc w:val="center"/>
        <w:rPr>
          <w:rFonts w:hint="eastAsia" w:ascii="黑体" w:hAnsi="黑体" w:eastAsia="黑体"/>
          <w:sz w:val="44"/>
          <w:szCs w:val="44"/>
          <w:highlight w:val="none"/>
        </w:rPr>
      </w:pPr>
    </w:p>
    <w:p w14:paraId="471BB292">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6E9EADDC">
      <w:pPr>
        <w:jc w:val="center"/>
        <w:rPr>
          <w:rFonts w:hint="eastAsia" w:ascii="黑体" w:hAnsi="黑体" w:eastAsia="黑体"/>
          <w:sz w:val="44"/>
          <w:szCs w:val="44"/>
          <w:highlight w:val="none"/>
        </w:rPr>
      </w:pPr>
    </w:p>
    <w:p w14:paraId="46D510CA">
      <w:pPr>
        <w:jc w:val="center"/>
        <w:rPr>
          <w:rFonts w:hint="eastAsia" w:ascii="黑体" w:hAnsi="黑体" w:eastAsia="黑体"/>
          <w:sz w:val="44"/>
          <w:szCs w:val="44"/>
          <w:highlight w:val="none"/>
        </w:rPr>
      </w:pPr>
    </w:p>
    <w:p w14:paraId="3A4AB0F0">
      <w:pPr>
        <w:jc w:val="center"/>
        <w:rPr>
          <w:rFonts w:hint="eastAsia" w:ascii="黑体" w:hAnsi="黑体" w:eastAsia="黑体"/>
          <w:sz w:val="44"/>
          <w:szCs w:val="44"/>
          <w:highlight w:val="none"/>
        </w:rPr>
      </w:pPr>
    </w:p>
    <w:p w14:paraId="5899D36E">
      <w:pPr>
        <w:jc w:val="center"/>
        <w:rPr>
          <w:rFonts w:hint="eastAsia" w:ascii="黑体" w:hAnsi="黑体" w:eastAsia="黑体"/>
          <w:sz w:val="44"/>
          <w:szCs w:val="44"/>
          <w:highlight w:val="none"/>
        </w:rPr>
      </w:pPr>
    </w:p>
    <w:p w14:paraId="72AD84CA">
      <w:pPr>
        <w:jc w:val="center"/>
        <w:rPr>
          <w:rFonts w:hint="eastAsia" w:ascii="黑体" w:hAnsi="黑体" w:eastAsia="黑体"/>
          <w:sz w:val="44"/>
          <w:szCs w:val="44"/>
          <w:highlight w:val="none"/>
        </w:rPr>
      </w:pPr>
    </w:p>
    <w:p w14:paraId="0CD2074B">
      <w:pPr>
        <w:jc w:val="center"/>
        <w:rPr>
          <w:rFonts w:hint="eastAsia" w:ascii="黑体" w:hAnsi="黑体" w:eastAsia="黑体"/>
          <w:sz w:val="44"/>
          <w:szCs w:val="44"/>
          <w:highlight w:val="none"/>
        </w:rPr>
      </w:pPr>
    </w:p>
    <w:p w14:paraId="1B76B114">
      <w:pPr>
        <w:jc w:val="center"/>
        <w:rPr>
          <w:rFonts w:hint="eastAsia" w:ascii="黑体" w:hAnsi="黑体" w:eastAsia="黑体"/>
          <w:sz w:val="44"/>
          <w:szCs w:val="44"/>
        </w:rPr>
      </w:pPr>
      <w:r>
        <w:rPr>
          <w:rFonts w:hint="eastAsia" w:ascii="黑体" w:hAnsi="黑体" w:eastAsia="黑体"/>
          <w:sz w:val="44"/>
          <w:szCs w:val="44"/>
        </w:rPr>
        <w:t>蛟河市住房和城乡建设局（汇总）</w:t>
      </w:r>
    </w:p>
    <w:p w14:paraId="2863685C">
      <w:pPr>
        <w:jc w:val="center"/>
        <w:rPr>
          <w:rFonts w:ascii="黑体" w:hAnsi="黑体" w:eastAsia="黑体"/>
          <w:sz w:val="44"/>
          <w:szCs w:val="44"/>
          <w:highlight w:val="none"/>
        </w:rPr>
      </w:pP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5年</w:t>
      </w:r>
      <w:r>
        <w:rPr>
          <w:rFonts w:hint="eastAsia" w:ascii="黑体" w:hAnsi="黑体" w:eastAsia="黑体"/>
          <w:sz w:val="44"/>
          <w:szCs w:val="44"/>
          <w:highlight w:val="none"/>
        </w:rPr>
        <w:t>预算</w:t>
      </w:r>
    </w:p>
    <w:p w14:paraId="0C2C7C59">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73BA1DC9">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5C6BA4A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58B743E3">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1628FF45">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D2964C2">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5F837F32">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8FAC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5FBE2E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4BFF3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F6B9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0B4D12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52B7FF6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670DAAA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038BB19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5F9CA8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1982357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8DE12D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AE74AD3">
      <w:pPr>
        <w:rPr>
          <w:rFonts w:ascii="仿宋" w:hAnsi="仿宋" w:eastAsia="仿宋"/>
          <w:sz w:val="32"/>
          <w:szCs w:val="32"/>
          <w:highlight w:val="none"/>
        </w:rPr>
      </w:pPr>
    </w:p>
    <w:p w14:paraId="0EA382AB">
      <w:pPr>
        <w:rPr>
          <w:rFonts w:ascii="仿宋" w:hAnsi="仿宋" w:eastAsia="仿宋"/>
          <w:sz w:val="32"/>
          <w:szCs w:val="32"/>
          <w:highlight w:val="none"/>
        </w:rPr>
      </w:pPr>
    </w:p>
    <w:p w14:paraId="5EB2BE9D">
      <w:pPr>
        <w:rPr>
          <w:rFonts w:ascii="仿宋" w:hAnsi="仿宋" w:eastAsia="仿宋"/>
          <w:sz w:val="32"/>
          <w:szCs w:val="32"/>
          <w:highlight w:val="none"/>
        </w:rPr>
      </w:pPr>
    </w:p>
    <w:p w14:paraId="7D5D71E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5AC16B0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E5B1E24">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39A99432">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蛟河市住房和城乡建设局</w:t>
      </w:r>
    </w:p>
    <w:p w14:paraId="340E1B12">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lang w:val="en-US" w:eastAsia="zh-CN"/>
        </w:rPr>
        <w:t>1965</w:t>
      </w:r>
      <w:r>
        <w:rPr>
          <w:rFonts w:hint="eastAsia" w:ascii="仿宋" w:hAnsi="仿宋" w:eastAsia="仿宋"/>
          <w:bCs/>
          <w:kern w:val="0"/>
          <w:sz w:val="32"/>
          <w:szCs w:val="32"/>
        </w:rPr>
        <w:t>年</w:t>
      </w:r>
    </w:p>
    <w:p w14:paraId="4AEF0213">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蛟河市住房和城乡建设局是行政单位，下设8家事业单位。主要是管理和规范全市住房和城乡建设工作秩序</w:t>
      </w:r>
      <w:r>
        <w:rPr>
          <w:rFonts w:hint="eastAsia" w:ascii="仿宋" w:hAnsi="仿宋" w:eastAsia="仿宋"/>
          <w:kern w:val="0"/>
          <w:sz w:val="32"/>
          <w:szCs w:val="32"/>
          <w:lang w:eastAsia="zh-CN"/>
        </w:rPr>
        <w:t>。</w:t>
      </w:r>
    </w:p>
    <w:p w14:paraId="1D935791">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74F9A7D4">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负责规范全市住房和城乡建设管理秩序工作。研究提出全市住房和城乡建设重大问题的政策建议；拟订全市住房和城乡建设事业的总体发展战略、产业政策、中长期规划和年度计划并组织实施。</w:t>
      </w:r>
    </w:p>
    <w:p w14:paraId="0F27DF2E">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负责城乡建设方面的城建档案、房屋产权交易、房屋征收、供热、燃气、建筑工程质量监督、住房保障、物业管理等行政审批和管理工作。</w:t>
      </w:r>
    </w:p>
    <w:p w14:paraId="212F7F78">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规范房地产市场秩序，监督管理房地产市场工作。拟订房地产建设规划、计划、产业政策和发展战略；会同或配合有关部门组织落实房地产市场监督政策，拟订房地产行业发展规划和产业政策；负责房屋建筑工程的综合验收工作；负责全市房屋交易和产权管理；制定全市物业管理发展规划，指导、监督、协调全市物业管理工作；监督、管理全市国有土地上房屋征收安置工作。</w:t>
      </w:r>
    </w:p>
    <w:p w14:paraId="73A7F903">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负责指导村镇建设工作，贯彻落实省和吉林市村庄和小城镇建设政策并指导实施；指导农村住房建设和危房改造；组织实施乡镇污水设施建设工程。</w:t>
      </w:r>
    </w:p>
    <w:p w14:paraId="1B7F445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负责推进住房制度改革工作，落实省和吉林市住房制度改革和保障性住房建设管理相关政策并组织实施。</w:t>
      </w:r>
    </w:p>
    <w:p w14:paraId="59D26278">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负责组织编制城市供水、供热、市政建设、燃气的产业政策及中长期发展目标、年度计划，并监督实施；负责住房城乡建设领域环境保护的监督、管理工作。</w:t>
      </w:r>
    </w:p>
    <w:p w14:paraId="70C1C870">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负责城市供水、供热、燃气、污水处理厂（站）管理工作。负责供水、供热、燃气企业的安全管理、监督、检查和指导；负责城市供水、污水处理设施的建设、维护和管理；负责供热、燃气企业的资质审查。</w:t>
      </w:r>
    </w:p>
    <w:p w14:paraId="512D994B">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指导和规范建筑市场，规范市场各方主体行为。监督管理全市建筑活动，负责建设工程项目招投标活动的监督管理；负责执行勘察设计、施工、建设监理、建设工程质量安全等法规、规章并监督和指导实施；负责建设工程质量监督管理工作；负责城建档案管理工作。</w:t>
      </w:r>
    </w:p>
    <w:p w14:paraId="7501E310">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承担主管行业领域的安全生产管理，指导督促企事业单位加强安全管理。依照有关法律、法规的规定履行安全生产监督管理职责，开展监管执法工作等职责。负责建筑施工安全生产和文明施工审查和监督管理，对企业相关安全生产违法行为提出处罚建议并移送案件。</w:t>
      </w:r>
    </w:p>
    <w:p w14:paraId="2EEF2CCA">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管理市政府确定的城乡建设重点工程；协调解决城市建设中的相关问题；负责市政府交办的城乡重点工程（项目）组织实施工作。</w:t>
      </w:r>
    </w:p>
    <w:p w14:paraId="7BFC162D">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推进建筑节能和推广绿色建筑工作。组织推进重大建筑节能项目；组织城建系统重大科技项目攻关与新技术开发、墙体材料改革、技术引进及转化推广工作；管理工业与民用建筑的抗震设防工作；指导城市建设科学研究工作；组织实施全市建设行业科技发展规划和技术规范。</w:t>
      </w:r>
    </w:p>
    <w:p w14:paraId="11C31883">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承办市委、市政府交办的其他任务。</w:t>
      </w:r>
    </w:p>
    <w:p w14:paraId="5ADAA686">
      <w:pPr>
        <w:pStyle w:val="10"/>
        <w:widowControl/>
        <w:spacing w:line="620" w:lineRule="exact"/>
        <w:ind w:firstLine="627" w:firstLineChars="196"/>
        <w:contextualSpacing/>
        <w:rPr>
          <w:rFonts w:ascii="仿宋_GB2312" w:hAnsi="仿宋_GB2312" w:eastAsia="仿宋_GB2312" w:cs="仿宋_GB2312"/>
          <w:kern w:val="0"/>
          <w:sz w:val="32"/>
          <w:szCs w:val="32"/>
        </w:rPr>
      </w:pPr>
      <w:r>
        <w:rPr>
          <w:rFonts w:hint="eastAsia" w:ascii="仿宋" w:hAnsi="仿宋" w:eastAsia="仿宋"/>
          <w:bCs/>
          <w:kern w:val="0"/>
          <w:sz w:val="32"/>
          <w:szCs w:val="32"/>
          <w:lang w:val="en-US" w:eastAsia="zh-CN"/>
        </w:rPr>
        <w:t xml:space="preserve"> </w:t>
      </w:r>
      <w:r>
        <w:rPr>
          <w:rFonts w:hint="eastAsia" w:ascii="仿宋_GB2312" w:hAnsi="仿宋_GB2312" w:eastAsia="仿宋_GB2312" w:cs="仿宋_GB2312"/>
          <w:bCs/>
          <w:kern w:val="0"/>
          <w:sz w:val="32"/>
          <w:szCs w:val="32"/>
        </w:rPr>
        <w:t>主要业务：城建档案管理，房屋产权交易，房屋征收安置，供热、供水、燃气行业监管，房屋建筑工程综合验收，行业安全监察，保障性住房、物业管理、消防计设审查验收，房地产、建筑市场、人民防空等行政审批和管理工作。指导村镇建设、农村住房建设和危房改造，实施城乡污水设施建设工程，协调解决城市建设中的相关问题。</w:t>
      </w:r>
    </w:p>
    <w:p w14:paraId="267C53C6">
      <w:pPr>
        <w:pStyle w:val="10"/>
        <w:widowControl/>
        <w:numPr>
          <w:ilvl w:val="0"/>
          <w:numId w:val="0"/>
        </w:numPr>
        <w:spacing w:line="620" w:lineRule="exact"/>
        <w:contextualSpacing/>
        <w:rPr>
          <w:rFonts w:hint="default" w:ascii="仿宋" w:hAnsi="仿宋" w:eastAsia="仿宋"/>
          <w:bCs/>
          <w:kern w:val="0"/>
          <w:sz w:val="32"/>
          <w:szCs w:val="32"/>
          <w:lang w:val="en-US" w:eastAsia="zh-CN"/>
        </w:rPr>
      </w:pPr>
    </w:p>
    <w:p w14:paraId="3D7A93E0">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3DCB6884">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办公室（信访办公室）、计划财务科、建设工程管理科（消防设计审查验收科）、城市建设工作科（行政审批办公室、村镇建设管理科）、安全生产监督管理办公室。行政机关下属8家事业单位：蛟河市供热管理中心、蛟河市城市建设档案馆、蛟河市廉租住房和经济适用住房管理中心、蛟河市房屋征收经办中心、蛟河市房屋产权交易管理中心、蛟河市建设工程质量监督站、蛟河市物业管理中心、蛟河市城市项目建设服务中心。</w:t>
      </w:r>
    </w:p>
    <w:p w14:paraId="1CA7D493">
      <w:pPr>
        <w:pStyle w:val="12"/>
        <w:ind w:firstLine="627" w:firstLineChars="196"/>
        <w:rPr>
          <w:rFonts w:hint="eastAsia" w:ascii="仿宋" w:hAnsi="仿宋" w:eastAsia="仿宋_GB2312"/>
          <w:kern w:val="0"/>
          <w:szCs w:val="32"/>
          <w:highlight w:val="none"/>
          <w:lang w:eastAsia="zh-CN"/>
        </w:rPr>
      </w:pPr>
      <w:r>
        <w:rPr>
          <w:rFonts w:hint="eastAsia" w:ascii="仿宋" w:hAnsi="仿宋" w:eastAsia="仿宋"/>
          <w:kern w:val="0"/>
          <w:szCs w:val="32"/>
          <w:highlight w:val="none"/>
        </w:rPr>
        <w:t>人员情况：</w:t>
      </w:r>
      <w:r>
        <w:rPr>
          <w:rFonts w:hint="eastAsia" w:ascii="仿宋" w:hAnsi="仿宋" w:eastAsia="仿宋"/>
          <w:kern w:val="0"/>
          <w:szCs w:val="32"/>
          <w:highlight w:val="none"/>
          <w:lang w:val="en-US" w:eastAsia="zh-CN"/>
        </w:rPr>
        <w:t>行政</w:t>
      </w:r>
      <w:r>
        <w:rPr>
          <w:rFonts w:hint="eastAsia" w:ascii="仿宋" w:hAnsi="仿宋" w:eastAsia="仿宋"/>
          <w:kern w:val="0"/>
          <w:szCs w:val="32"/>
          <w:highlight w:val="none"/>
        </w:rPr>
        <w:t>在职人员</w:t>
      </w:r>
      <w:r>
        <w:rPr>
          <w:rFonts w:hint="eastAsia" w:ascii="仿宋" w:hAnsi="仿宋" w:eastAsia="仿宋"/>
          <w:kern w:val="0"/>
          <w:szCs w:val="32"/>
          <w:highlight w:val="none"/>
          <w:lang w:val="en-US" w:eastAsia="zh-CN"/>
        </w:rPr>
        <w:t>10</w:t>
      </w:r>
      <w:r>
        <w:rPr>
          <w:rFonts w:hint="eastAsia" w:ascii="仿宋" w:hAnsi="仿宋" w:eastAsia="仿宋"/>
          <w:kern w:val="0"/>
          <w:szCs w:val="32"/>
          <w:highlight w:val="none"/>
        </w:rPr>
        <w:t>人，</w:t>
      </w:r>
      <w:r>
        <w:rPr>
          <w:rFonts w:hint="eastAsia" w:ascii="仿宋" w:hAnsi="仿宋" w:eastAsia="仿宋"/>
          <w:kern w:val="0"/>
          <w:szCs w:val="32"/>
          <w:highlight w:val="none"/>
          <w:lang w:val="en-US" w:eastAsia="zh-CN"/>
        </w:rPr>
        <w:t>行政</w:t>
      </w:r>
      <w:r>
        <w:rPr>
          <w:rFonts w:hint="eastAsia" w:ascii="仿宋" w:hAnsi="仿宋" w:eastAsia="仿宋"/>
          <w:kern w:val="0"/>
          <w:szCs w:val="32"/>
          <w:highlight w:val="none"/>
        </w:rPr>
        <w:t>编制数</w:t>
      </w:r>
      <w:r>
        <w:rPr>
          <w:rFonts w:hint="eastAsia" w:ascii="仿宋" w:hAnsi="仿宋" w:eastAsia="仿宋"/>
          <w:kern w:val="0"/>
          <w:szCs w:val="32"/>
          <w:highlight w:val="none"/>
          <w:lang w:val="en-US" w:eastAsia="zh-CN"/>
        </w:rPr>
        <w:t>15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r>
        <w:rPr>
          <w:rFonts w:hint="eastAsia" w:ascii="仿宋_GB2312" w:hAnsi="仿宋_GB2312" w:cs="仿宋_GB2312"/>
          <w:bCs/>
          <w:kern w:val="0"/>
          <w:szCs w:val="32"/>
        </w:rPr>
        <w:t>事业在职实有人员10</w:t>
      </w:r>
      <w:r>
        <w:rPr>
          <w:rFonts w:hint="eastAsia" w:ascii="仿宋_GB2312" w:hAnsi="仿宋_GB2312" w:cs="仿宋_GB2312"/>
          <w:bCs/>
          <w:kern w:val="0"/>
          <w:szCs w:val="32"/>
          <w:lang w:val="en-US" w:eastAsia="zh-CN"/>
        </w:rPr>
        <w:t>0</w:t>
      </w:r>
      <w:r>
        <w:rPr>
          <w:rFonts w:hint="eastAsia" w:ascii="仿宋_GB2312" w:hAnsi="仿宋_GB2312" w:cs="仿宋_GB2312"/>
          <w:bCs/>
          <w:kern w:val="0"/>
          <w:szCs w:val="32"/>
        </w:rPr>
        <w:t>人</w:t>
      </w:r>
      <w:r>
        <w:rPr>
          <w:rFonts w:hint="eastAsia" w:ascii="仿宋_GB2312" w:hAnsi="仿宋_GB2312" w:cs="仿宋_GB2312"/>
          <w:bCs/>
          <w:kern w:val="0"/>
          <w:szCs w:val="32"/>
          <w:lang w:eastAsia="zh-CN"/>
        </w:rPr>
        <w:t>。</w:t>
      </w:r>
    </w:p>
    <w:p w14:paraId="34696B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C469AEB">
      <w:pPr>
        <w:jc w:val="left"/>
        <w:rPr>
          <w:rFonts w:ascii="仿宋" w:hAnsi="仿宋" w:eastAsia="仿宋"/>
          <w:sz w:val="32"/>
          <w:szCs w:val="32"/>
          <w:highlight w:val="none"/>
        </w:rPr>
      </w:pPr>
    </w:p>
    <w:p w14:paraId="16C5B97E">
      <w:pPr>
        <w:jc w:val="left"/>
        <w:rPr>
          <w:rFonts w:ascii="仿宋" w:hAnsi="仿宋" w:eastAsia="仿宋"/>
          <w:sz w:val="32"/>
          <w:szCs w:val="32"/>
          <w:highlight w:val="none"/>
        </w:rPr>
      </w:pPr>
    </w:p>
    <w:p w14:paraId="0D51E44D">
      <w:pPr>
        <w:jc w:val="left"/>
        <w:rPr>
          <w:rFonts w:ascii="仿宋" w:hAnsi="仿宋" w:eastAsia="仿宋"/>
          <w:sz w:val="32"/>
          <w:szCs w:val="32"/>
          <w:highlight w:val="none"/>
        </w:rPr>
      </w:pPr>
    </w:p>
    <w:p w14:paraId="2408244A">
      <w:pPr>
        <w:jc w:val="left"/>
        <w:rPr>
          <w:rFonts w:ascii="仿宋" w:hAnsi="仿宋" w:eastAsia="仿宋"/>
          <w:sz w:val="32"/>
          <w:szCs w:val="32"/>
          <w:highlight w:val="none"/>
        </w:rPr>
      </w:pPr>
    </w:p>
    <w:p w14:paraId="491D7DDC">
      <w:pPr>
        <w:jc w:val="left"/>
        <w:rPr>
          <w:rFonts w:ascii="仿宋" w:hAnsi="仿宋" w:eastAsia="仿宋"/>
          <w:sz w:val="32"/>
          <w:szCs w:val="32"/>
          <w:highlight w:val="none"/>
        </w:rPr>
      </w:pPr>
    </w:p>
    <w:p w14:paraId="7B905BB4">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96870B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033C5C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688F9F0C">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1203.91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减少70.66</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单位在职人员减少及人员工资调整</w:t>
      </w:r>
      <w:r>
        <w:rPr>
          <w:rFonts w:hint="eastAsia" w:ascii="仿宋" w:hAnsi="仿宋" w:eastAsia="仿宋"/>
          <w:sz w:val="32"/>
          <w:szCs w:val="32"/>
          <w:highlight w:val="none"/>
          <w:lang w:eastAsia="zh-CN"/>
        </w:rPr>
        <w:t>。</w:t>
      </w:r>
    </w:p>
    <w:p w14:paraId="0661440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4A2CE204">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1133.25万元，占100%；上年结转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6F4F174A">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676B2BC4">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0BD2C992">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2184C78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1133.25万元，上年结转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城乡社区支出847.39万元，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129.06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61.46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95.34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3758E7AF">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6B025ECC">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1133.25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1079.6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95.3</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53.65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4.7</w:t>
      </w:r>
      <w:r>
        <w:rPr>
          <w:rFonts w:hint="eastAsia" w:ascii="仿宋" w:hAnsi="仿宋" w:eastAsia="仿宋"/>
          <w:sz w:val="32"/>
          <w:szCs w:val="32"/>
          <w:highlight w:val="none"/>
        </w:rPr>
        <w:t>%。</w:t>
      </w:r>
    </w:p>
    <w:p w14:paraId="11ABD824">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847.39</w:t>
      </w:r>
      <w:r>
        <w:rPr>
          <w:rFonts w:hint="eastAsia" w:ascii="仿宋" w:hAnsi="仿宋" w:eastAsia="仿宋"/>
          <w:sz w:val="32"/>
          <w:szCs w:val="32"/>
        </w:rPr>
        <w:t>万元，占</w:t>
      </w:r>
      <w:r>
        <w:rPr>
          <w:rFonts w:hint="eastAsia" w:ascii="仿宋" w:hAnsi="仿宋" w:eastAsia="仿宋"/>
          <w:sz w:val="32"/>
          <w:szCs w:val="32"/>
          <w:lang w:val="en-US" w:eastAsia="zh-CN"/>
        </w:rPr>
        <w:t>74.8</w:t>
      </w:r>
      <w:r>
        <w:rPr>
          <w:rFonts w:hint="eastAsia" w:ascii="仿宋" w:hAnsi="仿宋" w:eastAsia="仿宋"/>
          <w:sz w:val="32"/>
          <w:szCs w:val="32"/>
        </w:rPr>
        <w:t>%，主要用于：人员工资、经费支出。</w:t>
      </w:r>
    </w:p>
    <w:p w14:paraId="1C8D704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社会保障和就业（类）支出129.06万元，占11.4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3B78A18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卫生健康（类）支出61.46万元，占5.4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414F4A9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住房保障（类）支出95.34万元，占8.4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7B851CC3">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42F3FE5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2025年一般公共预算基本支出1133.25万元，其中：</w:t>
      </w:r>
    </w:p>
    <w:p w14:paraId="16606EEB">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1079.6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3735F8EA">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53.65</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7F092CF">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08AB5338">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5.5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0363CD1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64D9151">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407E0D16">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2.5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7D64F72">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2795B2A4">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782352AF">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18B95242">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7384986E">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551D59D4">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7A4A59C5">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25.89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基本相同</w:t>
      </w:r>
      <w:r>
        <w:rPr>
          <w:rFonts w:hint="eastAsia" w:ascii="仿宋" w:hAnsi="仿宋" w:eastAsia="仿宋"/>
          <w:sz w:val="32"/>
          <w:szCs w:val="32"/>
          <w:highlight w:val="none"/>
          <w:lang w:eastAsia="zh-CN"/>
        </w:rPr>
        <w:t>。</w:t>
      </w:r>
    </w:p>
    <w:p w14:paraId="312DC859">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5619EDBF">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65819E98">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5C92043">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5BC0C7F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7943815D">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3B16C47D">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72A6E8F7">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B17780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1DA52706">
      <w:pPr>
        <w:jc w:val="left"/>
        <w:rPr>
          <w:rFonts w:ascii="仿宋" w:hAnsi="仿宋" w:eastAsia="仿宋"/>
          <w:sz w:val="32"/>
          <w:szCs w:val="32"/>
          <w:highlight w:val="none"/>
        </w:rPr>
      </w:pPr>
    </w:p>
    <w:p w14:paraId="5B3AB243">
      <w:pPr>
        <w:jc w:val="center"/>
        <w:rPr>
          <w:rFonts w:ascii="仿宋" w:hAnsi="仿宋" w:eastAsia="仿宋"/>
          <w:sz w:val="32"/>
          <w:szCs w:val="32"/>
          <w:highlight w:val="none"/>
        </w:rPr>
      </w:pPr>
    </w:p>
    <w:p w14:paraId="326DF9EA">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57E978F2">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48C12959">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23ECE047">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05842FA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24EB808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B6D542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5A06154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30A69C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7202540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6EA069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314A1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106F3220">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19A80949">
      <w:pPr>
        <w:ind w:firstLine="640" w:firstLineChars="200"/>
        <w:rPr>
          <w:rFonts w:ascii="仿宋_GB2312" w:eastAsia="仿宋_GB2312"/>
          <w:sz w:val="32"/>
          <w:szCs w:val="32"/>
          <w:highlight w:val="none"/>
        </w:rPr>
      </w:pPr>
    </w:p>
    <w:p w14:paraId="05EFA10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8305605">
      <w:pPr>
        <w:jc w:val="left"/>
        <w:rPr>
          <w:rFonts w:ascii="仿宋" w:hAnsi="仿宋" w:eastAsia="仿宋"/>
          <w:sz w:val="32"/>
          <w:szCs w:val="32"/>
          <w:highlight w:val="none"/>
        </w:rPr>
      </w:pPr>
    </w:p>
    <w:p w14:paraId="3192BD81">
      <w:pPr>
        <w:jc w:val="left"/>
        <w:rPr>
          <w:rFonts w:ascii="仿宋" w:hAnsi="仿宋" w:eastAsia="仿宋"/>
          <w:sz w:val="32"/>
          <w:szCs w:val="32"/>
          <w:highlight w:val="none"/>
        </w:rPr>
      </w:pPr>
    </w:p>
    <w:p w14:paraId="32CA262F">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37FFB61">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bookmarkStart w:id="0" w:name="_GoBack"/>
      <w:bookmarkEnd w:id="0"/>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291A4376">
      <w:pPr>
        <w:rPr>
          <w:rFonts w:ascii="仿宋" w:hAnsi="仿宋" w:eastAsia="仿宋"/>
          <w:sz w:val="32"/>
          <w:szCs w:val="32"/>
          <w:highlight w:val="none"/>
        </w:rPr>
      </w:pPr>
    </w:p>
    <w:p w14:paraId="38F9265F">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241E0"/>
    <w:multiLevelType w:val="singleLevel"/>
    <w:tmpl w:val="DDE241E0"/>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6E31B8"/>
    <w:rsid w:val="018E6F43"/>
    <w:rsid w:val="01EC1B1D"/>
    <w:rsid w:val="034968DF"/>
    <w:rsid w:val="03D7309C"/>
    <w:rsid w:val="03F248D4"/>
    <w:rsid w:val="058B2013"/>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B590C"/>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C667B64"/>
    <w:rsid w:val="2D6B637C"/>
    <w:rsid w:val="2D742D12"/>
    <w:rsid w:val="2E3342C6"/>
    <w:rsid w:val="344D4C9B"/>
    <w:rsid w:val="34A905DD"/>
    <w:rsid w:val="357566C2"/>
    <w:rsid w:val="36273D08"/>
    <w:rsid w:val="37361A0B"/>
    <w:rsid w:val="37CC2ADC"/>
    <w:rsid w:val="38253B59"/>
    <w:rsid w:val="382E47F1"/>
    <w:rsid w:val="385B501F"/>
    <w:rsid w:val="38DE30B8"/>
    <w:rsid w:val="39284901"/>
    <w:rsid w:val="3A482539"/>
    <w:rsid w:val="3A915046"/>
    <w:rsid w:val="3C4C15D1"/>
    <w:rsid w:val="3CEA5A8A"/>
    <w:rsid w:val="3D897F97"/>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8145C"/>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994DBA"/>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035665"/>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4016</Words>
  <Characters>4307</Characters>
  <Lines>19</Lines>
  <Paragraphs>5</Paragraphs>
  <TotalTime>11</TotalTime>
  <ScaleCrop>false</ScaleCrop>
  <LinksUpToDate>false</LinksUpToDate>
  <CharactersWithSpaces>4426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2025-01-19T10:35:35Z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A0F5E3F74B7E47DBA140E4465E8F445F_13</vt:lpwstr>
  </property>
  <property fmtid="{D5CDD505-2E9C-101B-9397-08002B2CF9AE}" pid="4" name="KSOTemplateDocerSaveRecord">
    <vt:lpwstr>eyJoZGlkIjoiNWMyNjllMmU0YTcwZjNhMTY0NmE1Zjk3MGY5NmI4MWYiLCJ1c2VySWQiOiI0NTg0NDMyNzUifQ==</vt:lpwstr>
  </property>
</Properties>
</file>