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F5E6BF">
      <w:pPr>
        <w:jc w:val="center"/>
        <w:rPr>
          <w:rFonts w:hint="eastAsia" w:ascii="黑体" w:hAnsi="黑体" w:eastAsia="黑体"/>
          <w:sz w:val="44"/>
          <w:szCs w:val="44"/>
          <w:highlight w:val="none"/>
          <w:lang w:val="en-US" w:eastAsia="zh-CN"/>
        </w:rPr>
      </w:pPr>
    </w:p>
    <w:p w14:paraId="0EECBFBC">
      <w:pPr>
        <w:jc w:val="center"/>
        <w:rPr>
          <w:rFonts w:hint="eastAsia" w:ascii="黑体" w:hAnsi="黑体" w:eastAsia="黑体"/>
          <w:sz w:val="44"/>
          <w:szCs w:val="44"/>
          <w:highlight w:val="none"/>
          <w:lang w:val="en-US" w:eastAsia="zh-CN"/>
        </w:rPr>
      </w:pPr>
    </w:p>
    <w:p w14:paraId="7607E66D">
      <w:pPr>
        <w:jc w:val="center"/>
        <w:rPr>
          <w:rFonts w:hint="eastAsia" w:ascii="黑体" w:hAnsi="黑体" w:eastAsia="黑体"/>
          <w:sz w:val="44"/>
          <w:szCs w:val="44"/>
          <w:highlight w:val="none"/>
          <w:lang w:val="en-US" w:eastAsia="zh-CN"/>
        </w:rPr>
      </w:pPr>
    </w:p>
    <w:p w14:paraId="7E603298">
      <w:pPr>
        <w:jc w:val="center"/>
        <w:rPr>
          <w:rFonts w:hint="eastAsia" w:ascii="黑体" w:hAnsi="黑体" w:eastAsia="黑体"/>
          <w:sz w:val="44"/>
          <w:szCs w:val="44"/>
          <w:highlight w:val="none"/>
          <w:lang w:val="en-US" w:eastAsia="zh-CN"/>
        </w:rPr>
      </w:pPr>
      <w:bookmarkStart w:id="0" w:name="_GoBack"/>
      <w:bookmarkEnd w:id="0"/>
    </w:p>
    <w:p w14:paraId="1CA78742">
      <w:pPr>
        <w:jc w:val="center"/>
        <w:rPr>
          <w:rFonts w:hint="eastAsia" w:ascii="黑体" w:hAnsi="黑体" w:eastAsia="黑体"/>
          <w:sz w:val="44"/>
          <w:szCs w:val="44"/>
          <w:highlight w:val="none"/>
          <w:lang w:val="en-US" w:eastAsia="zh-CN"/>
        </w:rPr>
      </w:pPr>
    </w:p>
    <w:p w14:paraId="2CCE1AC7">
      <w:pPr>
        <w:jc w:val="center"/>
        <w:rPr>
          <w:rFonts w:hint="eastAsia" w:ascii="黑体" w:hAnsi="黑体" w:eastAsia="黑体"/>
          <w:sz w:val="52"/>
          <w:szCs w:val="52"/>
          <w:highlight w:val="none"/>
          <w:lang w:val="en-US" w:eastAsia="zh-CN"/>
        </w:rPr>
      </w:pPr>
      <w:r>
        <w:rPr>
          <w:rFonts w:hint="eastAsia" w:ascii="黑体" w:hAnsi="黑体" w:eastAsia="黑体"/>
          <w:sz w:val="52"/>
          <w:szCs w:val="52"/>
          <w:highlight w:val="none"/>
          <w:lang w:val="en-US" w:eastAsia="zh-CN"/>
        </w:rPr>
        <w:t xml:space="preserve">   蛟河市房屋征收经办中心</w:t>
      </w:r>
    </w:p>
    <w:p w14:paraId="589EC39C">
      <w:pPr>
        <w:jc w:val="center"/>
        <w:rPr>
          <w:rFonts w:hint="default" w:ascii="黑体" w:hAnsi="黑体" w:eastAsia="黑体"/>
          <w:sz w:val="52"/>
          <w:szCs w:val="52"/>
          <w:highlight w:val="none"/>
          <w:lang w:val="en-US" w:eastAsia="zh-CN"/>
        </w:rPr>
      </w:pPr>
      <w:r>
        <w:rPr>
          <w:rFonts w:hint="eastAsia" w:ascii="黑体" w:hAnsi="黑体" w:eastAsia="黑体"/>
          <w:sz w:val="52"/>
          <w:szCs w:val="52"/>
          <w:highlight w:val="none"/>
          <w:lang w:val="en-US" w:eastAsia="zh-CN"/>
        </w:rPr>
        <w:t>2025年部门预算</w:t>
      </w:r>
    </w:p>
    <w:p w14:paraId="0E3CCECC">
      <w:pPr>
        <w:jc w:val="center"/>
        <w:rPr>
          <w:rFonts w:hint="eastAsia" w:ascii="黑体" w:hAnsi="黑体" w:eastAsia="黑体"/>
          <w:sz w:val="44"/>
          <w:szCs w:val="44"/>
          <w:highlight w:val="none"/>
        </w:rPr>
      </w:pPr>
    </w:p>
    <w:p w14:paraId="38A504F5">
      <w:pPr>
        <w:jc w:val="center"/>
        <w:rPr>
          <w:rFonts w:hint="eastAsia" w:ascii="黑体" w:hAnsi="黑体" w:eastAsia="黑体"/>
          <w:sz w:val="44"/>
          <w:szCs w:val="44"/>
          <w:highlight w:val="none"/>
        </w:rPr>
      </w:pPr>
    </w:p>
    <w:p w14:paraId="49FE146E">
      <w:pPr>
        <w:jc w:val="center"/>
        <w:rPr>
          <w:rFonts w:hint="eastAsia" w:ascii="黑体" w:hAnsi="黑体" w:eastAsia="黑体"/>
          <w:sz w:val="44"/>
          <w:szCs w:val="44"/>
          <w:highlight w:val="none"/>
        </w:rPr>
      </w:pPr>
    </w:p>
    <w:p w14:paraId="760DE72F">
      <w:pPr>
        <w:jc w:val="center"/>
        <w:rPr>
          <w:rFonts w:hint="eastAsia" w:ascii="黑体" w:hAnsi="黑体" w:eastAsia="黑体"/>
          <w:sz w:val="44"/>
          <w:szCs w:val="44"/>
          <w:highlight w:val="none"/>
        </w:rPr>
      </w:pPr>
    </w:p>
    <w:p w14:paraId="2BF0E5B0">
      <w:pPr>
        <w:jc w:val="center"/>
        <w:rPr>
          <w:rFonts w:hint="eastAsia" w:ascii="黑体" w:hAnsi="黑体" w:eastAsia="黑体"/>
          <w:sz w:val="44"/>
          <w:szCs w:val="44"/>
          <w:highlight w:val="none"/>
        </w:rPr>
      </w:pPr>
    </w:p>
    <w:p w14:paraId="24B610AA">
      <w:pPr>
        <w:jc w:val="center"/>
        <w:rPr>
          <w:rFonts w:hint="eastAsia" w:ascii="黑体" w:hAnsi="黑体" w:eastAsia="黑体"/>
          <w:sz w:val="44"/>
          <w:szCs w:val="44"/>
          <w:highlight w:val="none"/>
        </w:rPr>
      </w:pPr>
    </w:p>
    <w:p w14:paraId="37AB90A9">
      <w:pPr>
        <w:jc w:val="center"/>
        <w:rPr>
          <w:rFonts w:hint="eastAsia" w:ascii="黑体" w:hAnsi="黑体" w:eastAsia="黑体"/>
          <w:sz w:val="44"/>
          <w:szCs w:val="44"/>
          <w:highlight w:val="none"/>
        </w:rPr>
      </w:pPr>
    </w:p>
    <w:p w14:paraId="0488C59C">
      <w:pPr>
        <w:jc w:val="center"/>
        <w:rPr>
          <w:rFonts w:hint="eastAsia" w:ascii="黑体" w:hAnsi="黑体" w:eastAsia="黑体"/>
          <w:sz w:val="44"/>
          <w:szCs w:val="44"/>
          <w:highlight w:val="none"/>
        </w:rPr>
      </w:pPr>
    </w:p>
    <w:p w14:paraId="2ACDD017">
      <w:pPr>
        <w:jc w:val="center"/>
        <w:rPr>
          <w:rFonts w:hint="eastAsia" w:ascii="黑体" w:hAnsi="黑体" w:eastAsia="黑体"/>
          <w:sz w:val="44"/>
          <w:szCs w:val="44"/>
          <w:highlight w:val="none"/>
        </w:rPr>
      </w:pPr>
    </w:p>
    <w:p w14:paraId="166144D0">
      <w:pPr>
        <w:jc w:val="center"/>
        <w:rPr>
          <w:rFonts w:hint="eastAsia" w:ascii="黑体" w:hAnsi="黑体" w:eastAsia="黑体"/>
          <w:sz w:val="44"/>
          <w:szCs w:val="44"/>
          <w:highlight w:val="none"/>
        </w:rPr>
      </w:pPr>
    </w:p>
    <w:p w14:paraId="426C5527">
      <w:pPr>
        <w:jc w:val="center"/>
        <w:rPr>
          <w:rFonts w:hint="default" w:ascii="黑体" w:hAnsi="黑体" w:eastAsia="黑体"/>
          <w:sz w:val="44"/>
          <w:szCs w:val="44"/>
          <w:highlight w:val="none"/>
          <w:lang w:val="en-US" w:eastAsia="zh-CN"/>
        </w:rPr>
      </w:pPr>
      <w:r>
        <w:rPr>
          <w:rFonts w:hint="eastAsia" w:ascii="黑体" w:hAnsi="黑体" w:eastAsia="黑体"/>
          <w:sz w:val="44"/>
          <w:szCs w:val="44"/>
          <w:highlight w:val="none"/>
          <w:lang w:val="en-US" w:eastAsia="zh-CN"/>
        </w:rPr>
        <w:t>二〇二五年一月二十五日</w:t>
      </w:r>
    </w:p>
    <w:p w14:paraId="380ABC27">
      <w:pPr>
        <w:jc w:val="center"/>
        <w:rPr>
          <w:rFonts w:hint="eastAsia" w:ascii="黑体" w:hAnsi="黑体" w:eastAsia="黑体"/>
          <w:sz w:val="44"/>
          <w:szCs w:val="44"/>
          <w:highlight w:val="none"/>
        </w:rPr>
      </w:pPr>
    </w:p>
    <w:p w14:paraId="41B6820C">
      <w:pPr>
        <w:jc w:val="center"/>
        <w:rPr>
          <w:rFonts w:hint="eastAsia" w:ascii="黑体" w:hAnsi="黑体" w:eastAsia="黑体"/>
          <w:sz w:val="44"/>
          <w:szCs w:val="44"/>
          <w:highlight w:val="none"/>
        </w:rPr>
      </w:pPr>
    </w:p>
    <w:p w14:paraId="05A601D8">
      <w:pPr>
        <w:jc w:val="center"/>
        <w:rPr>
          <w:rFonts w:hint="eastAsia" w:ascii="黑体" w:hAnsi="黑体" w:eastAsia="黑体"/>
          <w:sz w:val="44"/>
          <w:szCs w:val="44"/>
          <w:highlight w:val="none"/>
        </w:rPr>
      </w:pPr>
    </w:p>
    <w:p w14:paraId="16C0A819">
      <w:pPr>
        <w:jc w:val="center"/>
        <w:rPr>
          <w:rFonts w:hint="eastAsia" w:ascii="黑体" w:hAnsi="黑体" w:eastAsia="黑体"/>
          <w:sz w:val="44"/>
          <w:szCs w:val="44"/>
          <w:highlight w:val="none"/>
        </w:rPr>
      </w:pPr>
    </w:p>
    <w:p w14:paraId="78A8E897">
      <w:pPr>
        <w:jc w:val="center"/>
        <w:rPr>
          <w:rFonts w:hint="eastAsia" w:ascii="黑体" w:hAnsi="黑体" w:eastAsia="黑体"/>
          <w:sz w:val="44"/>
          <w:szCs w:val="44"/>
          <w:highlight w:val="none"/>
        </w:rPr>
      </w:pPr>
    </w:p>
    <w:p w14:paraId="5F76162F">
      <w:pPr>
        <w:jc w:val="center"/>
        <w:rPr>
          <w:rFonts w:hint="eastAsia" w:ascii="黑体" w:hAnsi="黑体" w:eastAsia="黑体"/>
          <w:sz w:val="44"/>
          <w:szCs w:val="44"/>
          <w:highlight w:val="none"/>
        </w:rPr>
      </w:pPr>
    </w:p>
    <w:p w14:paraId="4EAC6E11">
      <w:pPr>
        <w:jc w:val="center"/>
        <w:rPr>
          <w:rFonts w:ascii="黑体" w:hAnsi="黑体" w:eastAsia="黑体"/>
          <w:sz w:val="44"/>
          <w:szCs w:val="44"/>
          <w:highlight w:val="none"/>
        </w:rPr>
      </w:pPr>
      <w:r>
        <w:rPr>
          <w:rFonts w:hint="eastAsia" w:ascii="黑体" w:hAnsi="黑体" w:eastAsia="黑体"/>
          <w:sz w:val="44"/>
          <w:szCs w:val="44"/>
        </w:rPr>
        <w:t>蛟河市房屋征收经办中心</w:t>
      </w:r>
      <w:r>
        <w:rPr>
          <w:rFonts w:hint="eastAsia" w:ascii="黑体" w:hAnsi="黑体" w:eastAsia="黑体"/>
          <w:sz w:val="44"/>
          <w:szCs w:val="44"/>
          <w:highlight w:val="none"/>
          <w:lang w:eastAsia="zh-CN"/>
        </w:rPr>
        <w:t>202</w:t>
      </w:r>
      <w:r>
        <w:rPr>
          <w:rFonts w:hint="eastAsia" w:ascii="黑体" w:hAnsi="黑体" w:eastAsia="黑体"/>
          <w:sz w:val="44"/>
          <w:szCs w:val="44"/>
          <w:highlight w:val="none"/>
          <w:lang w:val="en-US" w:eastAsia="zh-CN"/>
        </w:rPr>
        <w:t>5</w:t>
      </w:r>
      <w:r>
        <w:rPr>
          <w:rFonts w:hint="eastAsia" w:ascii="黑体" w:hAnsi="黑体" w:eastAsia="黑体"/>
          <w:sz w:val="44"/>
          <w:szCs w:val="44"/>
          <w:highlight w:val="none"/>
        </w:rPr>
        <w:t>年预算</w:t>
      </w:r>
    </w:p>
    <w:p w14:paraId="620D6BC0">
      <w:pPr>
        <w:tabs>
          <w:tab w:val="left" w:pos="3240"/>
        </w:tabs>
        <w:rPr>
          <w:rFonts w:ascii="黑体" w:hAnsi="黑体" w:eastAsia="黑体"/>
          <w:sz w:val="44"/>
          <w:szCs w:val="44"/>
          <w:highlight w:val="none"/>
        </w:rPr>
      </w:pPr>
      <w:r>
        <w:rPr>
          <w:rFonts w:ascii="黑体" w:hAnsi="黑体" w:eastAsia="黑体"/>
          <w:sz w:val="44"/>
          <w:szCs w:val="44"/>
          <w:highlight w:val="none"/>
        </w:rPr>
        <w:tab/>
      </w:r>
      <w:r>
        <w:rPr>
          <w:rFonts w:hint="eastAsia" w:ascii="黑体" w:hAnsi="黑体" w:eastAsia="黑体"/>
          <w:sz w:val="44"/>
          <w:szCs w:val="44"/>
          <w:highlight w:val="none"/>
        </w:rPr>
        <w:t>目  录</w:t>
      </w:r>
    </w:p>
    <w:p w14:paraId="567F5524">
      <w:pPr>
        <w:rPr>
          <w:rFonts w:ascii="仿宋" w:hAnsi="仿宋" w:eastAsia="仿宋"/>
          <w:sz w:val="32"/>
          <w:szCs w:val="32"/>
          <w:highlight w:val="none"/>
        </w:rPr>
      </w:pPr>
      <w:r>
        <w:rPr>
          <w:rFonts w:hint="eastAsia" w:ascii="仿宋" w:hAnsi="仿宋" w:eastAsia="仿宋"/>
          <w:sz w:val="32"/>
          <w:szCs w:val="32"/>
          <w:highlight w:val="none"/>
        </w:rPr>
        <w:t>第一部分  部门概况</w:t>
      </w:r>
    </w:p>
    <w:p w14:paraId="46AC0C91">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主要职能</w:t>
      </w:r>
    </w:p>
    <w:p w14:paraId="1C32478C">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机构设置</w:t>
      </w:r>
    </w:p>
    <w:p w14:paraId="1DB3D01D">
      <w:pPr>
        <w:rPr>
          <w:rFonts w:ascii="仿宋" w:hAnsi="仿宋" w:eastAsia="仿宋"/>
          <w:sz w:val="32"/>
          <w:szCs w:val="32"/>
          <w:highlight w:val="none"/>
        </w:rPr>
      </w:pPr>
      <w:r>
        <w:rPr>
          <w:rFonts w:hint="eastAsia" w:ascii="仿宋" w:hAnsi="仿宋" w:eastAsia="仿宋"/>
          <w:sz w:val="32"/>
          <w:szCs w:val="32"/>
          <w:highlight w:val="none"/>
        </w:rPr>
        <w:t>第二部分  情况说明</w:t>
      </w:r>
    </w:p>
    <w:p w14:paraId="2A87FC30">
      <w:pPr>
        <w:rPr>
          <w:rFonts w:ascii="仿宋" w:hAnsi="仿宋" w:eastAsia="仿宋"/>
          <w:sz w:val="32"/>
          <w:szCs w:val="32"/>
          <w:highlight w:val="none"/>
        </w:rPr>
      </w:pPr>
      <w:r>
        <w:rPr>
          <w:rFonts w:hint="eastAsia" w:ascii="仿宋" w:hAnsi="仿宋" w:eastAsia="仿宋"/>
          <w:sz w:val="32"/>
          <w:szCs w:val="32"/>
          <w:highlight w:val="none"/>
        </w:rPr>
        <w:t xml:space="preserve">第三部分  名词解释 </w:t>
      </w:r>
    </w:p>
    <w:p w14:paraId="0C08B7C3">
      <w:pP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7E21B956">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07EF306C">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收入</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7CC01342">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支出</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15C1098F">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财政拨款收支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4CAAB64E">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一般公共预算支出表</w:t>
      </w:r>
    </w:p>
    <w:p w14:paraId="01812C15">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一般公共预算财政拨款基本支出预算表</w:t>
      </w:r>
    </w:p>
    <w:p w14:paraId="30B92AEB">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w:t>
      </w:r>
      <w:r>
        <w:rPr>
          <w:rFonts w:hint="eastAsia" w:ascii="仿宋" w:hAnsi="仿宋" w:eastAsia="仿宋"/>
          <w:sz w:val="32"/>
          <w:szCs w:val="32"/>
          <w:highlight w:val="none"/>
          <w:lang w:eastAsia="zh-CN"/>
        </w:rPr>
        <w:t>“三公”经费</w:t>
      </w:r>
      <w:r>
        <w:rPr>
          <w:rFonts w:hint="eastAsia" w:ascii="仿宋" w:hAnsi="仿宋" w:eastAsia="仿宋"/>
          <w:sz w:val="32"/>
          <w:szCs w:val="32"/>
          <w:highlight w:val="none"/>
        </w:rPr>
        <w:t>支出表</w:t>
      </w:r>
    </w:p>
    <w:p w14:paraId="7C458883">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政府性基金预算</w:t>
      </w:r>
      <w:r>
        <w:rPr>
          <w:rFonts w:hint="eastAsia" w:ascii="仿宋" w:hAnsi="仿宋" w:eastAsia="仿宋"/>
          <w:sz w:val="32"/>
          <w:szCs w:val="32"/>
          <w:highlight w:val="none"/>
          <w:lang w:eastAsia="zh-CN"/>
        </w:rPr>
        <w:t>支出</w:t>
      </w:r>
      <w:r>
        <w:rPr>
          <w:rFonts w:hint="eastAsia" w:ascii="仿宋" w:hAnsi="仿宋" w:eastAsia="仿宋"/>
          <w:sz w:val="32"/>
          <w:szCs w:val="32"/>
          <w:highlight w:val="none"/>
        </w:rPr>
        <w:t>表</w:t>
      </w:r>
    </w:p>
    <w:p w14:paraId="49AA9951">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国有资本经营预算支出表</w:t>
      </w:r>
    </w:p>
    <w:p w14:paraId="344DDE49">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rPr>
        <w:t>表</w:t>
      </w:r>
    </w:p>
    <w:p w14:paraId="42D8C103">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项目支出绩效目标表</w:t>
      </w:r>
    </w:p>
    <w:p w14:paraId="54068A5D">
      <w:pPr>
        <w:rPr>
          <w:rFonts w:ascii="仿宋" w:hAnsi="仿宋" w:eastAsia="仿宋"/>
          <w:sz w:val="32"/>
          <w:szCs w:val="32"/>
          <w:highlight w:val="none"/>
        </w:rPr>
      </w:pPr>
    </w:p>
    <w:p w14:paraId="7BDFA437">
      <w:pPr>
        <w:rPr>
          <w:rFonts w:ascii="仿宋" w:hAnsi="仿宋" w:eastAsia="仿宋"/>
          <w:sz w:val="32"/>
          <w:szCs w:val="32"/>
          <w:highlight w:val="none"/>
        </w:rPr>
      </w:pPr>
    </w:p>
    <w:p w14:paraId="19871D9D">
      <w:pPr>
        <w:rPr>
          <w:rFonts w:ascii="仿宋" w:hAnsi="仿宋" w:eastAsia="仿宋"/>
          <w:sz w:val="32"/>
          <w:szCs w:val="32"/>
          <w:highlight w:val="none"/>
        </w:rPr>
      </w:pPr>
    </w:p>
    <w:p w14:paraId="7A9F0D1D">
      <w:pPr>
        <w:jc w:val="center"/>
        <w:rPr>
          <w:rFonts w:ascii="黑体" w:hAnsi="黑体" w:eastAsia="黑体"/>
          <w:sz w:val="32"/>
          <w:szCs w:val="32"/>
          <w:highlight w:val="none"/>
        </w:rPr>
      </w:pPr>
      <w:r>
        <w:rPr>
          <w:rFonts w:hint="eastAsia" w:ascii="黑体" w:hAnsi="黑体" w:eastAsia="黑体"/>
          <w:sz w:val="32"/>
          <w:szCs w:val="32"/>
          <w:highlight w:val="none"/>
        </w:rPr>
        <w:t>第一部分    部门</w:t>
      </w:r>
      <w:r>
        <w:rPr>
          <w:rFonts w:hint="eastAsia" w:ascii="黑体" w:hAnsi="黑体" w:eastAsia="黑体"/>
          <w:sz w:val="32"/>
          <w:szCs w:val="32"/>
          <w:highlight w:val="none"/>
          <w:lang w:eastAsia="zh-CN"/>
        </w:rPr>
        <w:t>（单位）</w:t>
      </w:r>
      <w:r>
        <w:rPr>
          <w:rFonts w:hint="eastAsia" w:ascii="黑体" w:hAnsi="黑体" w:eastAsia="黑体"/>
          <w:sz w:val="32"/>
          <w:szCs w:val="32"/>
          <w:highlight w:val="none"/>
        </w:rPr>
        <w:t>概况</w:t>
      </w:r>
    </w:p>
    <w:p w14:paraId="739F06D3">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7FDDE05E">
      <w:pPr>
        <w:jc w:val="left"/>
        <w:rPr>
          <w:rFonts w:ascii="仿宋" w:hAnsi="仿宋" w:eastAsia="仿宋"/>
          <w:sz w:val="32"/>
          <w:szCs w:val="32"/>
          <w:highlight w:val="none"/>
        </w:rPr>
      </w:pPr>
      <w:r>
        <w:rPr>
          <w:rFonts w:hint="eastAsia" w:ascii="仿宋" w:hAnsi="仿宋" w:eastAsia="仿宋"/>
          <w:sz w:val="32"/>
          <w:szCs w:val="32"/>
          <w:highlight w:val="none"/>
        </w:rPr>
        <w:t xml:space="preserve"> 一、主要职能</w:t>
      </w:r>
    </w:p>
    <w:p w14:paraId="040607DB">
      <w:pPr>
        <w:pStyle w:val="10"/>
        <w:widowControl/>
        <w:spacing w:line="620" w:lineRule="exact"/>
        <w:ind w:firstLine="627" w:firstLineChars="196"/>
        <w:contextualSpacing/>
        <w:rPr>
          <w:rFonts w:ascii="仿宋" w:hAnsi="仿宋" w:eastAsia="仿宋"/>
          <w:bCs/>
          <w:kern w:val="0"/>
          <w:sz w:val="32"/>
          <w:szCs w:val="32"/>
        </w:rPr>
      </w:pPr>
      <w:r>
        <w:rPr>
          <w:rFonts w:hint="eastAsia" w:ascii="仿宋" w:hAnsi="仿宋" w:eastAsia="仿宋"/>
          <w:bCs/>
          <w:sz w:val="32"/>
          <w:szCs w:val="32"/>
          <w:highlight w:val="none"/>
        </w:rPr>
        <w:t>单位</w:t>
      </w:r>
      <w:r>
        <w:rPr>
          <w:rFonts w:hint="eastAsia" w:ascii="仿宋" w:hAnsi="仿宋" w:eastAsia="仿宋"/>
          <w:bCs/>
          <w:kern w:val="0"/>
          <w:sz w:val="32"/>
          <w:szCs w:val="32"/>
          <w:highlight w:val="none"/>
        </w:rPr>
        <w:t>名称：</w:t>
      </w:r>
      <w:r>
        <w:rPr>
          <w:rFonts w:hint="eastAsia" w:ascii="仿宋" w:hAnsi="仿宋" w:eastAsia="仿宋"/>
          <w:bCs/>
          <w:kern w:val="0"/>
          <w:sz w:val="32"/>
          <w:szCs w:val="32"/>
        </w:rPr>
        <w:t>蛟河市房屋征收经办中心</w:t>
      </w:r>
    </w:p>
    <w:p w14:paraId="18056AD9">
      <w:pPr>
        <w:pStyle w:val="10"/>
        <w:widowControl/>
        <w:spacing w:line="620" w:lineRule="exact"/>
        <w:ind w:firstLine="640" w:firstLineChars="200"/>
        <w:contextualSpacing/>
        <w:rPr>
          <w:rFonts w:ascii="仿宋" w:hAnsi="仿宋" w:eastAsia="仿宋"/>
          <w:bCs/>
          <w:kern w:val="0"/>
          <w:sz w:val="32"/>
          <w:szCs w:val="32"/>
        </w:rPr>
      </w:pPr>
      <w:r>
        <w:rPr>
          <w:rFonts w:hint="eastAsia" w:ascii="仿宋" w:hAnsi="仿宋" w:eastAsia="仿宋"/>
          <w:bCs/>
          <w:kern w:val="0"/>
          <w:sz w:val="32"/>
          <w:szCs w:val="32"/>
          <w:highlight w:val="none"/>
        </w:rPr>
        <w:t>成立时间：</w:t>
      </w:r>
      <w:r>
        <w:rPr>
          <w:rFonts w:hint="eastAsia" w:ascii="仿宋" w:hAnsi="仿宋" w:eastAsia="仿宋"/>
          <w:bCs/>
          <w:kern w:val="0"/>
          <w:sz w:val="32"/>
          <w:szCs w:val="32"/>
          <w:lang w:val="en-US" w:eastAsia="zh-CN"/>
        </w:rPr>
        <w:t>2014</w:t>
      </w:r>
      <w:r>
        <w:rPr>
          <w:rFonts w:hint="eastAsia" w:ascii="仿宋" w:hAnsi="仿宋" w:eastAsia="仿宋"/>
          <w:bCs/>
          <w:kern w:val="0"/>
          <w:sz w:val="32"/>
          <w:szCs w:val="32"/>
        </w:rPr>
        <w:t>年</w:t>
      </w:r>
    </w:p>
    <w:p w14:paraId="7BC33942">
      <w:pPr>
        <w:pStyle w:val="10"/>
        <w:widowControl/>
        <w:spacing w:line="620" w:lineRule="exact"/>
        <w:ind w:firstLine="627" w:firstLineChars="196"/>
        <w:contextualSpacing/>
        <w:rPr>
          <w:rFonts w:hint="eastAsia" w:ascii="仿宋" w:hAnsi="仿宋" w:eastAsia="仿宋"/>
          <w:kern w:val="0"/>
          <w:sz w:val="32"/>
          <w:szCs w:val="32"/>
          <w:highlight w:val="none"/>
          <w:lang w:eastAsia="zh-CN"/>
        </w:rPr>
      </w:pPr>
      <w:r>
        <w:rPr>
          <w:rFonts w:hint="eastAsia" w:ascii="仿宋" w:hAnsi="仿宋" w:eastAsia="仿宋"/>
          <w:bCs/>
          <w:kern w:val="0"/>
          <w:sz w:val="32"/>
          <w:szCs w:val="32"/>
          <w:highlight w:val="none"/>
        </w:rPr>
        <w:t>单位性质</w:t>
      </w:r>
      <w:r>
        <w:rPr>
          <w:rFonts w:hint="eastAsia" w:ascii="仿宋" w:hAnsi="仿宋" w:eastAsia="仿宋"/>
          <w:kern w:val="0"/>
          <w:sz w:val="32"/>
          <w:szCs w:val="32"/>
          <w:highlight w:val="none"/>
        </w:rPr>
        <w:t>：</w:t>
      </w:r>
      <w:r>
        <w:rPr>
          <w:rFonts w:hint="eastAsia" w:ascii="仿宋" w:hAnsi="仿宋" w:eastAsia="仿宋"/>
          <w:kern w:val="0"/>
          <w:sz w:val="32"/>
          <w:szCs w:val="32"/>
        </w:rPr>
        <w:t>蛟河市房屋征收经办中心</w:t>
      </w:r>
      <w:r>
        <w:rPr>
          <w:rFonts w:hint="eastAsia" w:ascii="仿宋" w:hAnsi="仿宋" w:eastAsia="仿宋"/>
          <w:bCs/>
          <w:kern w:val="0"/>
          <w:sz w:val="32"/>
          <w:szCs w:val="32"/>
        </w:rPr>
        <w:t>是为适应社会公益服务事业发展的需要设立，为隶属于蛟河市住房和城乡建设局的公益一类事业单位。</w:t>
      </w:r>
      <w:r>
        <w:rPr>
          <w:rFonts w:hint="eastAsia" w:ascii="仿宋" w:hAnsi="仿宋" w:eastAsia="仿宋"/>
          <w:kern w:val="0"/>
          <w:sz w:val="32"/>
          <w:szCs w:val="32"/>
        </w:rPr>
        <w:t>根据中央和省关于公益一类事业单位改革的要求，强化公益属性，进一步理顺体制，完善机制，健全制度，不断提高公益服务水平和效益。</w:t>
      </w:r>
    </w:p>
    <w:p w14:paraId="241AAFE4">
      <w:pPr>
        <w:pStyle w:val="10"/>
        <w:widowControl/>
        <w:numPr>
          <w:ilvl w:val="0"/>
          <w:numId w:val="0"/>
        </w:numPr>
        <w:spacing w:line="620" w:lineRule="exact"/>
        <w:ind w:firstLine="640" w:firstLineChars="200"/>
        <w:contextualSpacing/>
        <w:rPr>
          <w:rFonts w:hint="eastAsia" w:ascii="仿宋" w:hAnsi="仿宋" w:eastAsia="仿宋"/>
          <w:bCs/>
          <w:kern w:val="0"/>
          <w:sz w:val="32"/>
          <w:szCs w:val="32"/>
          <w:highlight w:val="none"/>
        </w:rPr>
      </w:pPr>
      <w:r>
        <w:rPr>
          <w:rFonts w:hint="eastAsia" w:ascii="仿宋" w:hAnsi="仿宋" w:eastAsia="仿宋"/>
          <w:bCs/>
          <w:kern w:val="0"/>
          <w:sz w:val="32"/>
          <w:szCs w:val="32"/>
          <w:highlight w:val="none"/>
        </w:rPr>
        <w:t>主要职能：</w:t>
      </w:r>
    </w:p>
    <w:p w14:paraId="4D3D11CD">
      <w:pPr>
        <w:pStyle w:val="10"/>
        <w:widowControl/>
        <w:numPr>
          <w:ilvl w:val="0"/>
          <w:numId w:val="3"/>
        </w:numPr>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贯彻执行国家、省、市房屋征收与补偿的政策和法律法规。</w:t>
      </w:r>
    </w:p>
    <w:p w14:paraId="57EDD21A">
      <w:pPr>
        <w:pStyle w:val="10"/>
        <w:widowControl/>
        <w:numPr>
          <w:ilvl w:val="0"/>
          <w:numId w:val="3"/>
        </w:numPr>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组织实施本行政区域内的国有土地上房屋征收与补偿工作。</w:t>
      </w:r>
    </w:p>
    <w:p w14:paraId="3C0E3525">
      <w:pPr>
        <w:pStyle w:val="10"/>
        <w:widowControl/>
        <w:numPr>
          <w:ilvl w:val="0"/>
          <w:numId w:val="3"/>
        </w:numPr>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组织对征收范围内房屋的权属、区位、用途、建筑面积等情况进行调查登记，并公布调查结果。</w:t>
      </w:r>
    </w:p>
    <w:p w14:paraId="0C7F3A24">
      <w:pPr>
        <w:pStyle w:val="10"/>
        <w:widowControl/>
        <w:numPr>
          <w:ilvl w:val="0"/>
          <w:numId w:val="3"/>
        </w:numPr>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确定回迁区域和回迁户型并公示。</w:t>
      </w:r>
    </w:p>
    <w:p w14:paraId="2294F341">
      <w:pPr>
        <w:pStyle w:val="10"/>
        <w:widowControl/>
        <w:numPr>
          <w:ilvl w:val="0"/>
          <w:numId w:val="3"/>
        </w:numPr>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在政府的统一组织下，协助有关部门对征收范围内未经登记的建筑进行调查、认证和处理。</w:t>
      </w:r>
    </w:p>
    <w:p w14:paraId="430FD229">
      <w:pPr>
        <w:pStyle w:val="10"/>
        <w:widowControl/>
        <w:numPr>
          <w:ilvl w:val="0"/>
          <w:numId w:val="3"/>
        </w:numPr>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书面通知有关部门暂停办理房屋征收范围内的新建、扩建、改建房屋和改变房屋用途等相关手续。</w:t>
      </w:r>
    </w:p>
    <w:p w14:paraId="1808042F">
      <w:pPr>
        <w:pStyle w:val="10"/>
        <w:widowControl/>
        <w:numPr>
          <w:ilvl w:val="0"/>
          <w:numId w:val="3"/>
        </w:numPr>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拟定征收补偿安置方案，对方案征求公众意见并修改。</w:t>
      </w:r>
    </w:p>
    <w:p w14:paraId="1FF0B11C">
      <w:pPr>
        <w:pStyle w:val="10"/>
        <w:widowControl/>
        <w:numPr>
          <w:ilvl w:val="0"/>
          <w:numId w:val="3"/>
        </w:numPr>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对房屋征收项目进行社会稳定风险评估。</w:t>
      </w:r>
    </w:p>
    <w:p w14:paraId="58415BBE">
      <w:pPr>
        <w:pStyle w:val="10"/>
        <w:widowControl/>
        <w:numPr>
          <w:ilvl w:val="0"/>
          <w:numId w:val="3"/>
        </w:numPr>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协同政府财政部门管理房屋征收补偿安置资金。</w:t>
      </w:r>
    </w:p>
    <w:p w14:paraId="1CF1D72F">
      <w:pPr>
        <w:pStyle w:val="10"/>
        <w:widowControl/>
        <w:numPr>
          <w:ilvl w:val="0"/>
          <w:numId w:val="3"/>
        </w:numPr>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与被征收人签订补偿协议，督促被征收人在约定期限内履行搬迁义务。</w:t>
      </w:r>
    </w:p>
    <w:p w14:paraId="763080FD">
      <w:pPr>
        <w:pStyle w:val="10"/>
        <w:widowControl/>
        <w:numPr>
          <w:ilvl w:val="0"/>
          <w:numId w:val="3"/>
        </w:numPr>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对被征收人在征收补偿方案确定的签约期限内达不成补偿协议或者被征收房屋所有权人不明确的，协助征收部门报请市人民政府做出补偿决定。</w:t>
      </w:r>
    </w:p>
    <w:p w14:paraId="0A967712">
      <w:pPr>
        <w:pStyle w:val="10"/>
        <w:widowControl/>
        <w:numPr>
          <w:ilvl w:val="0"/>
          <w:numId w:val="3"/>
        </w:numPr>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对在法定期限内不申请行政复议或者不提起行政诉讼，在补偿决定规定时间内又不搬迁的被征收人，申请裁定。</w:t>
      </w:r>
    </w:p>
    <w:p w14:paraId="68A8EFC6">
      <w:pPr>
        <w:pStyle w:val="10"/>
        <w:widowControl/>
        <w:numPr>
          <w:ilvl w:val="0"/>
          <w:numId w:val="3"/>
        </w:numPr>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依法建立房屋征收补偿档案，并将分户补偿情况在房屋征收范围内向被征收人公布。</w:t>
      </w:r>
    </w:p>
    <w:p w14:paraId="1E68B144">
      <w:pPr>
        <w:jc w:val="left"/>
        <w:rPr>
          <w:rFonts w:ascii="仿宋" w:hAnsi="仿宋" w:eastAsia="仿宋"/>
          <w:sz w:val="32"/>
          <w:szCs w:val="32"/>
          <w:highlight w:val="none"/>
        </w:rPr>
      </w:pPr>
      <w:r>
        <w:rPr>
          <w:rFonts w:hint="eastAsia" w:ascii="仿宋" w:hAnsi="仿宋" w:eastAsia="仿宋"/>
          <w:sz w:val="32"/>
          <w:szCs w:val="32"/>
          <w:highlight w:val="none"/>
        </w:rPr>
        <w:t xml:space="preserve">   二、机构设置</w:t>
      </w:r>
    </w:p>
    <w:p w14:paraId="25952D7D">
      <w:pPr>
        <w:pStyle w:val="12"/>
        <w:ind w:firstLine="627" w:firstLineChars="196"/>
        <w:rPr>
          <w:rFonts w:hint="eastAsia" w:ascii="仿宋" w:hAnsi="仿宋" w:eastAsia="仿宋"/>
          <w:kern w:val="0"/>
          <w:szCs w:val="32"/>
        </w:rPr>
      </w:pPr>
      <w:r>
        <w:rPr>
          <w:rFonts w:hint="eastAsia" w:ascii="仿宋" w:hAnsi="仿宋" w:eastAsia="仿宋"/>
          <w:kern w:val="0"/>
          <w:szCs w:val="32"/>
          <w:highlight w:val="none"/>
        </w:rPr>
        <w:t>机构设置包括：</w:t>
      </w:r>
      <w:r>
        <w:rPr>
          <w:rFonts w:hint="eastAsia" w:ascii="仿宋" w:hAnsi="仿宋" w:eastAsia="仿宋"/>
          <w:kern w:val="0"/>
          <w:szCs w:val="32"/>
        </w:rPr>
        <w:t>根据所承担的工作职责和编制总量，蛟河市房屋征收经办中心无内设机构；</w:t>
      </w:r>
    </w:p>
    <w:p w14:paraId="77244FAB">
      <w:pPr>
        <w:pStyle w:val="12"/>
        <w:ind w:firstLine="627" w:firstLineChars="196"/>
        <w:rPr>
          <w:rFonts w:ascii="仿宋" w:hAnsi="仿宋" w:eastAsia="仿宋"/>
          <w:kern w:val="0"/>
          <w:szCs w:val="32"/>
          <w:highlight w:val="none"/>
        </w:rPr>
      </w:pPr>
      <w:r>
        <w:rPr>
          <w:rFonts w:hint="eastAsia" w:ascii="仿宋" w:hAnsi="仿宋" w:eastAsia="仿宋"/>
          <w:kern w:val="0"/>
          <w:szCs w:val="32"/>
          <w:highlight w:val="none"/>
        </w:rPr>
        <w:t>人员情况：在职人员</w:t>
      </w:r>
      <w:r>
        <w:rPr>
          <w:rFonts w:hint="eastAsia" w:ascii="仿宋" w:hAnsi="仿宋" w:eastAsia="仿宋"/>
          <w:kern w:val="0"/>
          <w:szCs w:val="32"/>
          <w:highlight w:val="none"/>
          <w:lang w:val="en-US" w:eastAsia="zh-CN"/>
        </w:rPr>
        <w:t>14</w:t>
      </w:r>
      <w:r>
        <w:rPr>
          <w:rFonts w:hint="eastAsia" w:ascii="仿宋" w:hAnsi="仿宋" w:eastAsia="仿宋"/>
          <w:kern w:val="0"/>
          <w:szCs w:val="32"/>
          <w:highlight w:val="none"/>
        </w:rPr>
        <w:t>人，编制数</w:t>
      </w:r>
      <w:r>
        <w:rPr>
          <w:rFonts w:hint="eastAsia" w:ascii="仿宋" w:hAnsi="仿宋" w:eastAsia="仿宋"/>
          <w:kern w:val="0"/>
          <w:szCs w:val="32"/>
          <w:highlight w:val="none"/>
          <w:lang w:val="en-US" w:eastAsia="zh-CN"/>
        </w:rPr>
        <w:t>10</w:t>
      </w:r>
      <w:r>
        <w:rPr>
          <w:rFonts w:hint="eastAsia" w:ascii="仿宋" w:hAnsi="仿宋" w:eastAsia="仿宋"/>
          <w:kern w:val="0"/>
          <w:szCs w:val="32"/>
          <w:highlight w:val="none"/>
        </w:rPr>
        <w:t>人，领导职数</w:t>
      </w:r>
      <w:r>
        <w:rPr>
          <w:rFonts w:hint="eastAsia" w:ascii="仿宋" w:hAnsi="仿宋" w:eastAsia="仿宋"/>
          <w:kern w:val="0"/>
          <w:szCs w:val="32"/>
          <w:highlight w:val="none"/>
          <w:lang w:val="en-US" w:eastAsia="zh-CN"/>
        </w:rPr>
        <w:t>2</w:t>
      </w:r>
      <w:r>
        <w:rPr>
          <w:rFonts w:hint="eastAsia" w:ascii="仿宋" w:hAnsi="仿宋" w:eastAsia="仿宋"/>
          <w:kern w:val="0"/>
          <w:szCs w:val="32"/>
          <w:highlight w:val="none"/>
        </w:rPr>
        <w:t>个。</w:t>
      </w:r>
    </w:p>
    <w:p w14:paraId="54E987A9">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4CAF68EF">
      <w:pPr>
        <w:jc w:val="left"/>
        <w:rPr>
          <w:rFonts w:ascii="仿宋" w:hAnsi="仿宋" w:eastAsia="仿宋"/>
          <w:sz w:val="32"/>
          <w:szCs w:val="32"/>
          <w:highlight w:val="none"/>
        </w:rPr>
      </w:pPr>
    </w:p>
    <w:p w14:paraId="5761BAE9">
      <w:pPr>
        <w:jc w:val="left"/>
        <w:rPr>
          <w:rFonts w:ascii="仿宋" w:hAnsi="仿宋" w:eastAsia="仿宋"/>
          <w:sz w:val="32"/>
          <w:szCs w:val="32"/>
          <w:highlight w:val="none"/>
        </w:rPr>
      </w:pPr>
    </w:p>
    <w:p w14:paraId="41694E2C">
      <w:pPr>
        <w:jc w:val="left"/>
        <w:rPr>
          <w:rFonts w:ascii="仿宋" w:hAnsi="仿宋" w:eastAsia="仿宋"/>
          <w:sz w:val="32"/>
          <w:szCs w:val="32"/>
          <w:highlight w:val="none"/>
        </w:rPr>
      </w:pPr>
    </w:p>
    <w:p w14:paraId="3D4E800B">
      <w:pPr>
        <w:jc w:val="left"/>
        <w:rPr>
          <w:rFonts w:ascii="仿宋" w:hAnsi="仿宋" w:eastAsia="仿宋"/>
          <w:sz w:val="32"/>
          <w:szCs w:val="32"/>
          <w:highlight w:val="none"/>
        </w:rPr>
      </w:pPr>
    </w:p>
    <w:p w14:paraId="776EC5EA">
      <w:pPr>
        <w:jc w:val="left"/>
        <w:rPr>
          <w:rFonts w:ascii="仿宋" w:hAnsi="仿宋" w:eastAsia="仿宋"/>
          <w:sz w:val="32"/>
          <w:szCs w:val="32"/>
          <w:highlight w:val="none"/>
        </w:rPr>
      </w:pPr>
    </w:p>
    <w:p w14:paraId="6B0BA8BB">
      <w:pPr>
        <w:jc w:val="center"/>
        <w:rPr>
          <w:rFonts w:ascii="黑体" w:hAnsi="黑体" w:eastAsia="黑体"/>
          <w:sz w:val="32"/>
          <w:szCs w:val="32"/>
          <w:highlight w:val="none"/>
        </w:rPr>
      </w:pPr>
      <w:r>
        <w:rPr>
          <w:rFonts w:hint="eastAsia" w:ascii="黑体" w:hAnsi="黑体" w:eastAsia="黑体"/>
          <w:sz w:val="32"/>
          <w:szCs w:val="32"/>
          <w:highlight w:val="none"/>
        </w:rPr>
        <w:t>第二部分  情况说明</w:t>
      </w:r>
    </w:p>
    <w:p w14:paraId="21766281">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5943AD0E">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一、</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年收支预算总体情况</w:t>
      </w:r>
    </w:p>
    <w:p w14:paraId="1F19E5FE">
      <w:pPr>
        <w:pStyle w:val="11"/>
        <w:ind w:firstLine="640" w:firstLineChars="200"/>
        <w:jc w:val="left"/>
        <w:rPr>
          <w:rFonts w:hint="eastAsia" w:ascii="仿宋" w:hAnsi="仿宋" w:eastAsia="仿宋"/>
          <w:sz w:val="32"/>
          <w:szCs w:val="32"/>
          <w:highlight w:val="none"/>
          <w:lang w:val="en-US" w:eastAsia="zh-CN"/>
        </w:rPr>
      </w:pPr>
      <w:r>
        <w:rPr>
          <w:rFonts w:hint="eastAsia" w:ascii="仿宋" w:hAnsi="仿宋" w:eastAsia="仿宋"/>
          <w:sz w:val="32"/>
          <w:szCs w:val="32"/>
          <w:highlight w:val="none"/>
        </w:rPr>
        <w:t>按照综合预算的原则，所有收入和支出全部纳入部门预算管理。</w:t>
      </w:r>
      <w:r>
        <w:rPr>
          <w:rFonts w:hint="eastAsia" w:ascii="仿宋" w:hAnsi="仿宋" w:eastAsia="仿宋"/>
          <w:sz w:val="32"/>
          <w:szCs w:val="32"/>
          <w:highlight w:val="none"/>
          <w:lang w:eastAsia="zh-CN"/>
        </w:rPr>
        <w:t>收入包括：一般公共预算拨款收入、国有资本经营预算拨款收入、其他收入；支出包括：一般公共服务支出、社会保障和就业支出、卫生健康支出、住房保障支出、国有资本经营预算支出。202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年收支总预算</w:t>
      </w:r>
      <w:r>
        <w:rPr>
          <w:rFonts w:hint="eastAsia" w:ascii="仿宋" w:hAnsi="仿宋" w:eastAsia="仿宋"/>
          <w:sz w:val="32"/>
          <w:szCs w:val="32"/>
          <w:highlight w:val="none"/>
          <w:lang w:val="en-US" w:eastAsia="zh-CN"/>
        </w:rPr>
        <w:t>139.62</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年预算数</w:t>
      </w:r>
      <w:r>
        <w:rPr>
          <w:rFonts w:hint="eastAsia" w:ascii="仿宋" w:hAnsi="仿宋" w:eastAsia="仿宋"/>
          <w:sz w:val="32"/>
          <w:szCs w:val="32"/>
          <w:highlight w:val="none"/>
          <w:lang w:val="en-US" w:eastAsia="zh-CN"/>
        </w:rPr>
        <w:t>136.43</w:t>
      </w:r>
      <w:r>
        <w:rPr>
          <w:rFonts w:hint="eastAsia" w:ascii="仿宋" w:hAnsi="仿宋" w:eastAsia="仿宋"/>
          <w:sz w:val="32"/>
          <w:szCs w:val="32"/>
          <w:highlight w:val="none"/>
        </w:rPr>
        <w:t>万元</w:t>
      </w:r>
      <w:r>
        <w:rPr>
          <w:rFonts w:hint="eastAsia" w:ascii="仿宋" w:hAnsi="仿宋" w:eastAsia="仿宋"/>
          <w:sz w:val="32"/>
          <w:szCs w:val="32"/>
          <w:highlight w:val="none"/>
          <w:lang w:val="en-US" w:eastAsia="zh-CN"/>
        </w:rPr>
        <w:t>增加3.19</w:t>
      </w:r>
      <w:r>
        <w:rPr>
          <w:rFonts w:hint="eastAsia" w:ascii="仿宋" w:hAnsi="仿宋" w:eastAsia="仿宋"/>
          <w:sz w:val="32"/>
          <w:szCs w:val="32"/>
          <w:highlight w:val="none"/>
        </w:rPr>
        <w:t>万元，主要原因</w:t>
      </w:r>
      <w:r>
        <w:rPr>
          <w:rFonts w:hint="eastAsia" w:ascii="仿宋" w:hAnsi="仿宋" w:eastAsia="仿宋"/>
          <w:sz w:val="32"/>
          <w:szCs w:val="32"/>
          <w:highlight w:val="none"/>
          <w:lang w:eastAsia="zh-CN"/>
        </w:rPr>
        <w:t>：</w:t>
      </w:r>
      <w:r>
        <w:rPr>
          <w:rFonts w:hint="eastAsia" w:ascii="仿宋" w:hAnsi="仿宋" w:eastAsia="仿宋"/>
          <w:sz w:val="32"/>
          <w:szCs w:val="32"/>
          <w:highlight w:val="none"/>
          <w:lang w:val="en-US" w:eastAsia="zh-CN"/>
        </w:rPr>
        <w:t>单位在职人员工资调整</w:t>
      </w:r>
      <w:r>
        <w:rPr>
          <w:rFonts w:hint="eastAsia" w:ascii="仿宋" w:hAnsi="仿宋" w:eastAsia="仿宋"/>
          <w:sz w:val="32"/>
          <w:szCs w:val="32"/>
          <w:highlight w:val="none"/>
          <w:lang w:eastAsia="zh-CN"/>
        </w:rPr>
        <w:t>。</w:t>
      </w:r>
    </w:p>
    <w:p w14:paraId="112C0BF5">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二、</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年收入预算情况</w:t>
      </w:r>
    </w:p>
    <w:p w14:paraId="5CA3FEF0">
      <w:pPr>
        <w:pStyle w:val="11"/>
        <w:ind w:left="319" w:leftChars="152" w:firstLine="320" w:firstLineChars="100"/>
        <w:jc w:val="left"/>
        <w:rPr>
          <w:rFonts w:hint="default" w:ascii="仿宋" w:hAnsi="仿宋" w:eastAsia="仿宋"/>
          <w:sz w:val="32"/>
          <w:szCs w:val="32"/>
          <w:highlight w:val="none"/>
          <w:lang w:val="en-US"/>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年本单位收入预算</w:t>
      </w:r>
      <w:r>
        <w:rPr>
          <w:rFonts w:hint="eastAsia" w:ascii="仿宋" w:hAnsi="仿宋" w:eastAsia="仿宋"/>
          <w:sz w:val="32"/>
          <w:szCs w:val="32"/>
          <w:highlight w:val="none"/>
          <w:lang w:val="en-US" w:eastAsia="zh-CN"/>
        </w:rPr>
        <w:t xml:space="preserve"> 139.62</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139.62万元，占100%；上年结转 0 万元，占0%。本年收入中，一般公共预算</w:t>
      </w:r>
      <w:r>
        <w:rPr>
          <w:rFonts w:hint="eastAsia" w:ascii="仿宋" w:hAnsi="仿宋" w:eastAsia="仿宋"/>
          <w:sz w:val="32"/>
          <w:szCs w:val="32"/>
          <w:highlight w:val="none"/>
        </w:rPr>
        <w:t>财政拨款收入</w:t>
      </w:r>
      <w:r>
        <w:rPr>
          <w:rFonts w:hint="eastAsia" w:ascii="仿宋" w:hAnsi="仿宋" w:eastAsia="仿宋"/>
          <w:sz w:val="32"/>
          <w:szCs w:val="32"/>
          <w:highlight w:val="none"/>
          <w:lang w:val="en-US" w:eastAsia="zh-CN"/>
        </w:rPr>
        <w:t>139.62</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100%；政府性基金收入 0 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0%；国有资本经营预算拨款收入 0 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0%；其他收入0 万元，占0%。</w:t>
      </w:r>
    </w:p>
    <w:p w14:paraId="371C514E">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 xml:space="preserve"> 三、</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年支出预算情况</w:t>
      </w:r>
    </w:p>
    <w:p w14:paraId="0350322C">
      <w:pPr>
        <w:pStyle w:val="11"/>
        <w:ind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年支出预算</w:t>
      </w:r>
      <w:r>
        <w:rPr>
          <w:rFonts w:hint="eastAsia" w:ascii="仿宋" w:hAnsi="仿宋" w:eastAsia="仿宋"/>
          <w:sz w:val="32"/>
          <w:szCs w:val="32"/>
          <w:highlight w:val="none"/>
          <w:lang w:val="en-US" w:eastAsia="zh-CN"/>
        </w:rPr>
        <w:t>139.62</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，其中：基本支出</w:t>
      </w:r>
      <w:r>
        <w:rPr>
          <w:rFonts w:hint="eastAsia" w:ascii="仿宋" w:hAnsi="仿宋" w:eastAsia="仿宋"/>
          <w:sz w:val="32"/>
          <w:szCs w:val="32"/>
          <w:highlight w:val="none"/>
          <w:lang w:val="en-US" w:eastAsia="zh-CN"/>
        </w:rPr>
        <w:t>139.62</w:t>
      </w:r>
      <w:r>
        <w:rPr>
          <w:rFonts w:hint="eastAsia" w:ascii="仿宋" w:hAnsi="仿宋" w:eastAsia="仿宋"/>
          <w:sz w:val="32"/>
          <w:szCs w:val="32"/>
          <w:highlight w:val="none"/>
          <w:lang w:eastAsia="zh-CN"/>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 xml:space="preserve"> 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w:t>
      </w:r>
    </w:p>
    <w:p w14:paraId="5D69C0C4">
      <w:pPr>
        <w:pStyle w:val="11"/>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四</w:t>
      </w:r>
      <w:r>
        <w:rPr>
          <w:rFonts w:hint="eastAsia" w:ascii="楷体" w:hAnsi="楷体" w:eastAsia="楷体"/>
          <w:sz w:val="32"/>
          <w:szCs w:val="32"/>
          <w:highlight w:val="none"/>
        </w:rPr>
        <w:t>、</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w:t>
      </w:r>
      <w:r>
        <w:rPr>
          <w:rFonts w:hint="eastAsia" w:ascii="楷体" w:hAnsi="楷体" w:eastAsia="楷体"/>
          <w:sz w:val="32"/>
          <w:szCs w:val="32"/>
          <w:highlight w:val="none"/>
          <w:lang w:eastAsia="zh-CN"/>
        </w:rPr>
        <w:t>财政拨款收支</w:t>
      </w:r>
      <w:r>
        <w:rPr>
          <w:rFonts w:hint="eastAsia" w:ascii="楷体" w:hAnsi="楷体" w:eastAsia="楷体"/>
          <w:sz w:val="32"/>
          <w:szCs w:val="32"/>
          <w:highlight w:val="none"/>
        </w:rPr>
        <w:t>预算情况</w:t>
      </w:r>
    </w:p>
    <w:p w14:paraId="74E6D5CE">
      <w:pPr>
        <w:pStyle w:val="11"/>
        <w:ind w:firstLine="640" w:firstLineChars="200"/>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w:t>
      </w:r>
      <w:r>
        <w:rPr>
          <w:rFonts w:hint="eastAsia" w:ascii="仿宋" w:hAnsi="仿宋" w:eastAsia="仿宋"/>
          <w:sz w:val="32"/>
          <w:szCs w:val="32"/>
          <w:highlight w:val="none"/>
          <w:lang w:eastAsia="zh-CN"/>
        </w:rPr>
        <w:t>财政拨款收支总</w:t>
      </w:r>
      <w:r>
        <w:rPr>
          <w:rFonts w:hint="eastAsia" w:ascii="仿宋" w:hAnsi="仿宋" w:eastAsia="仿宋"/>
          <w:sz w:val="32"/>
          <w:szCs w:val="32"/>
          <w:highlight w:val="none"/>
        </w:rPr>
        <w:t>预算</w:t>
      </w:r>
      <w:r>
        <w:rPr>
          <w:rFonts w:hint="eastAsia" w:ascii="仿宋" w:hAnsi="仿宋" w:eastAsia="仿宋"/>
          <w:sz w:val="32"/>
          <w:szCs w:val="32"/>
          <w:highlight w:val="none"/>
          <w:lang w:val="en-US" w:eastAsia="zh-CN"/>
        </w:rPr>
        <w:t>139.62</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 xml:space="preserve"> 139.62万元，上年结转 0 万元。支出包括：城乡社区支出103.39万元，</w:t>
      </w:r>
      <w:r>
        <w:rPr>
          <w:rFonts w:hint="eastAsia" w:ascii="仿宋" w:hAnsi="仿宋" w:eastAsia="仿宋"/>
          <w:sz w:val="32"/>
          <w:szCs w:val="32"/>
          <w:highlight w:val="none"/>
        </w:rPr>
        <w:t>社会保障和就业支出</w:t>
      </w:r>
      <w:r>
        <w:rPr>
          <w:rFonts w:hint="eastAsia" w:ascii="仿宋" w:hAnsi="仿宋" w:eastAsia="仿宋"/>
          <w:sz w:val="32"/>
          <w:szCs w:val="32"/>
          <w:highlight w:val="none"/>
          <w:lang w:val="en-US" w:eastAsia="zh-CN"/>
        </w:rPr>
        <w:t>16.41</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，卫生健康</w:t>
      </w:r>
      <w:r>
        <w:rPr>
          <w:rFonts w:hint="eastAsia" w:ascii="仿宋" w:hAnsi="仿宋" w:eastAsia="仿宋"/>
          <w:sz w:val="32"/>
          <w:szCs w:val="32"/>
          <w:highlight w:val="none"/>
        </w:rPr>
        <w:t>支出</w:t>
      </w:r>
      <w:r>
        <w:rPr>
          <w:rFonts w:hint="eastAsia" w:ascii="仿宋" w:hAnsi="仿宋" w:eastAsia="仿宋"/>
          <w:sz w:val="32"/>
          <w:szCs w:val="32"/>
          <w:highlight w:val="none"/>
          <w:lang w:val="en-US" w:eastAsia="zh-CN"/>
        </w:rPr>
        <w:t>7.8</w:t>
      </w:r>
      <w:r>
        <w:rPr>
          <w:rFonts w:hint="eastAsia" w:ascii="仿宋" w:hAnsi="仿宋" w:eastAsia="仿宋"/>
          <w:sz w:val="32"/>
          <w:szCs w:val="32"/>
          <w:highlight w:val="none"/>
        </w:rPr>
        <w:t>万元，住房保障支出</w:t>
      </w:r>
      <w:r>
        <w:rPr>
          <w:rFonts w:hint="eastAsia" w:ascii="仿宋" w:hAnsi="仿宋" w:eastAsia="仿宋"/>
          <w:sz w:val="32"/>
          <w:szCs w:val="32"/>
          <w:highlight w:val="none"/>
          <w:lang w:val="en-US" w:eastAsia="zh-CN"/>
        </w:rPr>
        <w:t>12.02</w:t>
      </w:r>
      <w:r>
        <w:rPr>
          <w:rFonts w:hint="eastAsia" w:ascii="仿宋" w:hAnsi="仿宋" w:eastAsia="仿宋"/>
          <w:sz w:val="32"/>
          <w:szCs w:val="32"/>
          <w:highlight w:val="none"/>
        </w:rPr>
        <w:t>万元。</w:t>
      </w:r>
    </w:p>
    <w:p w14:paraId="31BBADBE">
      <w:pPr>
        <w:pStyle w:val="11"/>
        <w:rPr>
          <w:rFonts w:ascii="楷体" w:hAnsi="楷体" w:eastAsia="楷体"/>
          <w:sz w:val="32"/>
          <w:szCs w:val="32"/>
          <w:highlight w:val="none"/>
        </w:rPr>
      </w:pPr>
      <w:r>
        <w:rPr>
          <w:rFonts w:hint="eastAsia" w:ascii="仿宋" w:hAnsi="仿宋" w:eastAsia="仿宋"/>
          <w:kern w:val="0"/>
          <w:sz w:val="32"/>
          <w:szCs w:val="32"/>
          <w:highlight w:val="none"/>
        </w:rPr>
        <w:t xml:space="preserve">    </w:t>
      </w:r>
      <w:r>
        <w:rPr>
          <w:rFonts w:hint="eastAsia" w:ascii="楷体" w:hAnsi="楷体" w:eastAsia="楷体" w:cs="楷体"/>
          <w:kern w:val="0"/>
          <w:sz w:val="32"/>
          <w:szCs w:val="32"/>
          <w:highlight w:val="none"/>
          <w:lang w:eastAsia="zh-CN"/>
        </w:rPr>
        <w:t>五</w:t>
      </w:r>
      <w:r>
        <w:rPr>
          <w:rFonts w:hint="eastAsia" w:ascii="楷体" w:hAnsi="楷体" w:eastAsia="楷体" w:cs="楷体"/>
          <w:kern w:val="0"/>
          <w:sz w:val="32"/>
          <w:szCs w:val="32"/>
          <w:highlight w:val="none"/>
        </w:rPr>
        <w:t>、</w:t>
      </w:r>
      <w:r>
        <w:rPr>
          <w:rFonts w:hint="eastAsia" w:ascii="楷体" w:hAnsi="楷体" w:eastAsia="楷体" w:cs="楷体"/>
          <w:kern w:val="0"/>
          <w:sz w:val="32"/>
          <w:szCs w:val="32"/>
          <w:highlight w:val="none"/>
          <w:lang w:eastAsia="zh-CN"/>
        </w:rPr>
        <w:t>202</w:t>
      </w:r>
      <w:r>
        <w:rPr>
          <w:rFonts w:hint="eastAsia" w:ascii="楷体" w:hAnsi="楷体" w:eastAsia="楷体" w:cs="楷体"/>
          <w:kern w:val="0"/>
          <w:sz w:val="32"/>
          <w:szCs w:val="32"/>
          <w:highlight w:val="none"/>
          <w:lang w:val="en-US" w:eastAsia="zh-CN"/>
        </w:rPr>
        <w:t>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支出</w:t>
      </w:r>
      <w:r>
        <w:rPr>
          <w:rFonts w:hint="eastAsia" w:ascii="楷体" w:hAnsi="楷体" w:eastAsia="楷体"/>
          <w:kern w:val="0"/>
          <w:sz w:val="32"/>
          <w:szCs w:val="32"/>
          <w:highlight w:val="none"/>
        </w:rPr>
        <w:t>情况</w:t>
      </w:r>
    </w:p>
    <w:p w14:paraId="4B325A5F">
      <w:pPr>
        <w:ind w:firstLine="640" w:firstLineChars="200"/>
        <w:rPr>
          <w:rFonts w:hint="eastAsia"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年一般公共预算当年拨款</w:t>
      </w:r>
      <w:r>
        <w:rPr>
          <w:rFonts w:hint="eastAsia" w:ascii="仿宋" w:hAnsi="仿宋" w:eastAsia="仿宋"/>
          <w:sz w:val="32"/>
          <w:szCs w:val="32"/>
          <w:highlight w:val="none"/>
          <w:lang w:val="en-US" w:eastAsia="zh-CN"/>
        </w:rPr>
        <w:t>139.62</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w:t>
      </w:r>
      <w:r>
        <w:rPr>
          <w:rFonts w:hint="eastAsia" w:ascii="仿宋" w:hAnsi="仿宋" w:eastAsia="仿宋"/>
          <w:sz w:val="32"/>
          <w:szCs w:val="32"/>
          <w:highlight w:val="none"/>
        </w:rPr>
        <w:t>基本支出</w:t>
      </w:r>
      <w:r>
        <w:rPr>
          <w:rFonts w:hint="eastAsia" w:ascii="仿宋" w:hAnsi="仿宋" w:eastAsia="仿宋"/>
          <w:sz w:val="32"/>
          <w:szCs w:val="32"/>
          <w:highlight w:val="none"/>
          <w:lang w:val="en-US" w:eastAsia="zh-CN"/>
        </w:rPr>
        <w:t>139.62</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rPr>
        <w:t>%；项目支出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%。基本支出中，人员经费</w:t>
      </w:r>
      <w:r>
        <w:rPr>
          <w:rFonts w:hint="eastAsia" w:ascii="仿宋" w:hAnsi="仿宋" w:eastAsia="仿宋"/>
          <w:sz w:val="32"/>
          <w:szCs w:val="32"/>
          <w:highlight w:val="none"/>
          <w:lang w:val="en-US" w:eastAsia="zh-CN"/>
        </w:rPr>
        <w:t>136.35</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97.7</w:t>
      </w:r>
      <w:r>
        <w:rPr>
          <w:rFonts w:hint="eastAsia" w:ascii="仿宋" w:hAnsi="仿宋" w:eastAsia="仿宋"/>
          <w:sz w:val="32"/>
          <w:szCs w:val="32"/>
          <w:highlight w:val="none"/>
        </w:rPr>
        <w:t>%</w:t>
      </w:r>
      <w:r>
        <w:rPr>
          <w:rFonts w:hint="eastAsia" w:ascii="仿宋" w:hAnsi="仿宋" w:eastAsia="仿宋"/>
          <w:sz w:val="32"/>
          <w:szCs w:val="32"/>
          <w:highlight w:val="none"/>
          <w:lang w:eastAsia="zh-CN"/>
        </w:rPr>
        <w:t>；</w:t>
      </w: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3.27</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2.3</w:t>
      </w:r>
      <w:r>
        <w:rPr>
          <w:rFonts w:hint="eastAsia" w:ascii="仿宋" w:hAnsi="仿宋" w:eastAsia="仿宋"/>
          <w:sz w:val="32"/>
          <w:szCs w:val="32"/>
          <w:highlight w:val="none"/>
        </w:rPr>
        <w:t>%。</w:t>
      </w:r>
    </w:p>
    <w:p w14:paraId="44CC8354">
      <w:pPr>
        <w:ind w:firstLine="640" w:firstLineChars="200"/>
        <w:rPr>
          <w:rFonts w:hint="eastAsia" w:ascii="仿宋" w:hAnsi="仿宋" w:eastAsia="仿宋"/>
          <w:sz w:val="32"/>
          <w:szCs w:val="32"/>
          <w:highlight w:val="none"/>
        </w:rPr>
      </w:pPr>
      <w:r>
        <w:rPr>
          <w:rFonts w:hint="eastAsia" w:ascii="仿宋" w:hAnsi="仿宋" w:eastAsia="仿宋"/>
          <w:sz w:val="32"/>
          <w:szCs w:val="32"/>
        </w:rPr>
        <w:t>城乡社区（类）支出</w:t>
      </w:r>
      <w:r>
        <w:rPr>
          <w:rFonts w:hint="eastAsia" w:ascii="仿宋" w:hAnsi="仿宋" w:eastAsia="仿宋"/>
          <w:sz w:val="32"/>
          <w:szCs w:val="32"/>
          <w:lang w:val="en-US" w:eastAsia="zh-CN"/>
        </w:rPr>
        <w:t>103.39</w:t>
      </w:r>
      <w:r>
        <w:rPr>
          <w:rFonts w:hint="eastAsia" w:ascii="仿宋" w:hAnsi="仿宋" w:eastAsia="仿宋"/>
          <w:sz w:val="32"/>
          <w:szCs w:val="32"/>
        </w:rPr>
        <w:t>万元，占</w:t>
      </w:r>
      <w:r>
        <w:rPr>
          <w:rFonts w:hint="eastAsia" w:ascii="仿宋" w:hAnsi="仿宋" w:eastAsia="仿宋"/>
          <w:sz w:val="32"/>
          <w:szCs w:val="32"/>
          <w:lang w:val="en-US" w:eastAsia="zh-CN"/>
        </w:rPr>
        <w:t>74.1</w:t>
      </w:r>
      <w:r>
        <w:rPr>
          <w:rFonts w:hint="eastAsia" w:ascii="仿宋" w:hAnsi="仿宋" w:eastAsia="仿宋"/>
          <w:sz w:val="32"/>
          <w:szCs w:val="32"/>
        </w:rPr>
        <w:t>%，主要用于：人员工资、经费支出。</w:t>
      </w:r>
    </w:p>
    <w:p w14:paraId="3F436D3A">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社会保障和就业（类）支出 16.41万元，占11.8</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rPr>
        <w:t>基本养老保险缴费支出</w:t>
      </w:r>
      <w:r>
        <w:rPr>
          <w:rFonts w:hint="eastAsia" w:ascii="仿宋" w:hAnsi="仿宋" w:eastAsia="仿宋"/>
          <w:sz w:val="32"/>
          <w:szCs w:val="32"/>
          <w:highlight w:val="none"/>
          <w:lang w:val="en-US" w:eastAsia="zh-CN"/>
        </w:rPr>
        <w:t>。</w:t>
      </w:r>
    </w:p>
    <w:p w14:paraId="7F025777">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卫生健康（类）支出7.8万元，占5.6</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rPr>
        <w:t>医疗保险缴费支出</w:t>
      </w:r>
      <w:r>
        <w:rPr>
          <w:rFonts w:hint="eastAsia" w:ascii="仿宋" w:hAnsi="仿宋" w:eastAsia="仿宋"/>
          <w:sz w:val="32"/>
          <w:szCs w:val="32"/>
          <w:highlight w:val="none"/>
          <w:lang w:val="en-US" w:eastAsia="zh-CN"/>
        </w:rPr>
        <w:t>。</w:t>
      </w:r>
    </w:p>
    <w:p w14:paraId="14F90AEA">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住房保障（类）支出12.02万元，占8.5</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rPr>
        <w:t>住房公积金缴费支出</w:t>
      </w:r>
      <w:r>
        <w:rPr>
          <w:rFonts w:hint="eastAsia" w:ascii="仿宋" w:hAnsi="仿宋" w:eastAsia="仿宋"/>
          <w:sz w:val="32"/>
          <w:szCs w:val="32"/>
          <w:highlight w:val="none"/>
          <w:lang w:val="en-US" w:eastAsia="zh-CN"/>
        </w:rPr>
        <w:t>。</w:t>
      </w:r>
    </w:p>
    <w:p w14:paraId="01DF9AB0">
      <w:pPr>
        <w:pStyle w:val="9"/>
        <w:rPr>
          <w:rFonts w:hint="eastAsia" w:ascii="楷体" w:hAnsi="楷体" w:eastAsia="楷体"/>
          <w:kern w:val="0"/>
          <w:sz w:val="32"/>
          <w:szCs w:val="32"/>
          <w:highlight w:val="none"/>
          <w:lang w:val="en-US" w:eastAsia="zh-CN"/>
        </w:rPr>
      </w:pPr>
      <w:r>
        <w:rPr>
          <w:rFonts w:hint="eastAsia" w:ascii="仿宋" w:hAnsi="仿宋" w:eastAsia="仿宋"/>
          <w:kern w:val="0"/>
          <w:sz w:val="32"/>
          <w:szCs w:val="32"/>
          <w:highlight w:val="none"/>
        </w:rPr>
        <w:t xml:space="preserve">   </w:t>
      </w:r>
      <w:r>
        <w:rPr>
          <w:rFonts w:hint="eastAsia" w:ascii="楷体" w:hAnsi="楷体" w:eastAsia="楷体"/>
          <w:kern w:val="0"/>
          <w:sz w:val="32"/>
          <w:szCs w:val="32"/>
          <w:highlight w:val="none"/>
          <w:lang w:eastAsia="zh-CN"/>
        </w:rPr>
        <w:t>六、</w:t>
      </w:r>
      <w:r>
        <w:rPr>
          <w:rFonts w:hint="eastAsia" w:ascii="楷体" w:hAnsi="楷体" w:eastAsia="楷体"/>
          <w:kern w:val="0"/>
          <w:sz w:val="32"/>
          <w:szCs w:val="32"/>
          <w:highlight w:val="none"/>
          <w:lang w:val="en-US" w:eastAsia="zh-CN"/>
        </w:rPr>
        <w:t>2025年一般公共预算基本支出情况</w:t>
      </w:r>
    </w:p>
    <w:p w14:paraId="50206B56">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2025年一般公共预算基本支出 139.62万元，其中：</w:t>
      </w:r>
    </w:p>
    <w:p w14:paraId="0FBA62A6">
      <w:pPr>
        <w:ind w:firstLine="640" w:firstLineChars="200"/>
        <w:rPr>
          <w:rFonts w:ascii="仿宋" w:hAnsi="仿宋" w:eastAsia="仿宋"/>
          <w:sz w:val="32"/>
          <w:szCs w:val="32"/>
          <w:highlight w:val="none"/>
        </w:rPr>
      </w:pPr>
      <w:r>
        <w:rPr>
          <w:rFonts w:hint="eastAsia" w:ascii="仿宋" w:hAnsi="仿宋" w:eastAsia="仿宋"/>
          <w:sz w:val="32"/>
          <w:szCs w:val="32"/>
          <w:highlight w:val="none"/>
        </w:rPr>
        <w:t>人员经费</w:t>
      </w:r>
      <w:r>
        <w:rPr>
          <w:rFonts w:hint="eastAsia" w:ascii="仿宋" w:hAnsi="仿宋" w:eastAsia="仿宋"/>
          <w:sz w:val="32"/>
          <w:szCs w:val="32"/>
          <w:highlight w:val="none"/>
          <w:lang w:val="en-US" w:eastAsia="zh-CN"/>
        </w:rPr>
        <w:t>136.35</w:t>
      </w:r>
      <w:r>
        <w:rPr>
          <w:rFonts w:hint="eastAsia" w:ascii="仿宋" w:hAnsi="仿宋" w:eastAsia="仿宋"/>
          <w:sz w:val="32"/>
          <w:szCs w:val="32"/>
          <w:highlight w:val="none"/>
        </w:rPr>
        <w:t>万元，主要包括：基本工资、津贴补贴、奖金、</w:t>
      </w:r>
      <w:r>
        <w:rPr>
          <w:rFonts w:hint="eastAsia" w:ascii="仿宋" w:hAnsi="仿宋" w:eastAsia="仿宋"/>
          <w:sz w:val="32"/>
          <w:szCs w:val="32"/>
          <w:highlight w:val="none"/>
          <w:lang w:eastAsia="zh-CN"/>
        </w:rPr>
        <w:t>绩效工资、机关事业单位基本养老保险缴费、职工基本医疗保险缴费、其他社会保障缴费、住房公积金、</w:t>
      </w:r>
      <w:r>
        <w:rPr>
          <w:rFonts w:hint="eastAsia" w:ascii="仿宋" w:hAnsi="仿宋" w:eastAsia="仿宋"/>
          <w:sz w:val="32"/>
          <w:szCs w:val="32"/>
          <w:highlight w:val="none"/>
        </w:rPr>
        <w:t>其他工资福利支出、离退休费、生活补助、其他对个人和家庭补助支出</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14:paraId="3F7B5040">
      <w:pPr>
        <w:pStyle w:val="9"/>
        <w:ind w:firstLine="627" w:firstLineChars="196"/>
        <w:rPr>
          <w:rFonts w:ascii="仿宋" w:hAnsi="仿宋" w:eastAsia="仿宋"/>
          <w:kern w:val="0"/>
          <w:sz w:val="32"/>
          <w:szCs w:val="32"/>
          <w:highlight w:val="none"/>
        </w:rPr>
      </w:pP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3.27</w:t>
      </w:r>
      <w:r>
        <w:rPr>
          <w:rFonts w:hint="eastAsia" w:ascii="仿宋" w:hAnsi="仿宋" w:eastAsia="仿宋"/>
          <w:sz w:val="32"/>
          <w:szCs w:val="32"/>
          <w:highlight w:val="none"/>
        </w:rPr>
        <w:t>万元，主要包括：办公费、印刷费、</w:t>
      </w:r>
      <w:r>
        <w:rPr>
          <w:rFonts w:hint="eastAsia" w:ascii="仿宋" w:hAnsi="仿宋" w:eastAsia="仿宋"/>
          <w:sz w:val="32"/>
          <w:szCs w:val="32"/>
          <w:highlight w:val="none"/>
          <w:lang w:eastAsia="zh-CN"/>
        </w:rPr>
        <w:t>水费、电费、</w:t>
      </w:r>
      <w:r>
        <w:rPr>
          <w:rFonts w:hint="eastAsia" w:ascii="仿宋" w:hAnsi="仿宋" w:eastAsia="仿宋"/>
          <w:sz w:val="32"/>
          <w:szCs w:val="32"/>
          <w:highlight w:val="none"/>
        </w:rPr>
        <w:t>邮电费、取暖费、差旅费、会议费、公务接待费、工会经费、公务用车运行维护费</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14:paraId="67993286">
      <w:pPr>
        <w:pStyle w:val="9"/>
        <w:ind w:firstLine="640" w:firstLineChars="200"/>
        <w:rPr>
          <w:rFonts w:ascii="楷体" w:hAnsi="楷体" w:eastAsia="楷体"/>
          <w:kern w:val="0"/>
          <w:sz w:val="32"/>
          <w:szCs w:val="32"/>
          <w:highlight w:val="none"/>
        </w:rPr>
      </w:pPr>
      <w:r>
        <w:rPr>
          <w:rFonts w:hint="eastAsia" w:ascii="楷体" w:hAnsi="楷体" w:eastAsia="楷体"/>
          <w:kern w:val="0"/>
          <w:sz w:val="32"/>
          <w:szCs w:val="32"/>
          <w:highlight w:val="none"/>
          <w:lang w:eastAsia="zh-CN"/>
        </w:rPr>
        <w:t>七</w:t>
      </w:r>
      <w:r>
        <w:rPr>
          <w:rFonts w:hint="eastAsia" w:ascii="楷体" w:hAnsi="楷体" w:eastAsia="楷体"/>
          <w:kern w:val="0"/>
          <w:sz w:val="32"/>
          <w:szCs w:val="32"/>
          <w:highlight w:val="none"/>
        </w:rPr>
        <w:t>、</w:t>
      </w:r>
      <w:r>
        <w:rPr>
          <w:rFonts w:hint="eastAsia" w:ascii="楷体" w:hAnsi="楷体" w:eastAsia="楷体"/>
          <w:kern w:val="0"/>
          <w:sz w:val="32"/>
          <w:szCs w:val="32"/>
          <w:highlight w:val="none"/>
          <w:lang w:eastAsia="zh-CN"/>
        </w:rPr>
        <w:t>202</w:t>
      </w:r>
      <w:r>
        <w:rPr>
          <w:rFonts w:hint="eastAsia" w:ascii="楷体" w:hAnsi="楷体" w:eastAsia="楷体"/>
          <w:kern w:val="0"/>
          <w:sz w:val="32"/>
          <w:szCs w:val="32"/>
          <w:highlight w:val="none"/>
          <w:lang w:val="en-US" w:eastAsia="zh-CN"/>
        </w:rPr>
        <w:t>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财政拨款</w:t>
      </w:r>
      <w:r>
        <w:rPr>
          <w:rFonts w:hint="eastAsia" w:ascii="楷体" w:hAnsi="楷体" w:eastAsia="楷体"/>
          <w:kern w:val="0"/>
          <w:sz w:val="32"/>
          <w:szCs w:val="32"/>
          <w:highlight w:val="none"/>
        </w:rPr>
        <w:t>“三公经费”情况</w:t>
      </w:r>
    </w:p>
    <w:p w14:paraId="01FDAC9F">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5</w:t>
      </w:r>
      <w:r>
        <w:rPr>
          <w:rFonts w:hint="eastAsia" w:ascii="仿宋" w:hAnsi="仿宋" w:eastAsia="仿宋"/>
          <w:kern w:val="0"/>
          <w:sz w:val="32"/>
          <w:szCs w:val="32"/>
          <w:highlight w:val="none"/>
        </w:rPr>
        <w:t>年“三公”经费预算数</w:t>
      </w:r>
      <w:r>
        <w:rPr>
          <w:rFonts w:hint="eastAsia" w:ascii="仿宋" w:hAnsi="仿宋" w:eastAsia="仿宋"/>
          <w:kern w:val="0"/>
          <w:sz w:val="32"/>
          <w:szCs w:val="32"/>
          <w:highlight w:val="none"/>
          <w:lang w:val="en-US" w:eastAsia="zh-CN"/>
        </w:rPr>
        <w:t xml:space="preserve">0 </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w:t>
      </w:r>
      <w:r>
        <w:rPr>
          <w:rFonts w:hint="eastAsia" w:ascii="仿宋" w:hAnsi="仿宋" w:eastAsia="仿宋"/>
          <w:kern w:val="0"/>
          <w:sz w:val="32"/>
          <w:szCs w:val="32"/>
          <w:highlight w:val="none"/>
          <w:lang w:val="en-US" w:eastAsia="zh-CN"/>
        </w:rPr>
        <w:t>相同</w:t>
      </w:r>
      <w:r>
        <w:rPr>
          <w:rFonts w:hint="eastAsia" w:ascii="仿宋" w:hAnsi="仿宋" w:eastAsia="仿宋"/>
          <w:kern w:val="0"/>
          <w:sz w:val="32"/>
          <w:szCs w:val="32"/>
          <w:highlight w:val="none"/>
        </w:rPr>
        <w:t>。其中：</w:t>
      </w:r>
    </w:p>
    <w:p w14:paraId="750465AE">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 xml:space="preserve">1.因公出国（境）费 0 万元，与 </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年预算数相同。</w:t>
      </w:r>
    </w:p>
    <w:p w14:paraId="729E0CE6">
      <w:pPr>
        <w:pStyle w:val="9"/>
        <w:ind w:firstLine="627" w:firstLineChars="196"/>
        <w:rPr>
          <w:rFonts w:hint="eastAsia" w:ascii="仿宋" w:hAnsi="仿宋" w:eastAsia="仿宋"/>
          <w:kern w:val="0"/>
          <w:sz w:val="32"/>
          <w:szCs w:val="32"/>
          <w:highlight w:val="none"/>
          <w:lang w:val="en-US" w:eastAsia="zh-CN"/>
        </w:rPr>
      </w:pPr>
      <w:r>
        <w:rPr>
          <w:rFonts w:hint="eastAsia" w:ascii="仿宋" w:hAnsi="仿宋" w:eastAsia="仿宋"/>
          <w:kern w:val="0"/>
          <w:sz w:val="32"/>
          <w:szCs w:val="32"/>
          <w:highlight w:val="none"/>
        </w:rPr>
        <w:t xml:space="preserve">2.公务接待费 </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 xml:space="preserve">万元，与 </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年预算数相同</w:t>
      </w:r>
      <w:r>
        <w:rPr>
          <w:rFonts w:hint="eastAsia" w:ascii="仿宋" w:hAnsi="仿宋" w:eastAsia="仿宋"/>
          <w:kern w:val="0"/>
          <w:sz w:val="32"/>
          <w:szCs w:val="32"/>
          <w:highlight w:val="none"/>
          <w:lang w:eastAsia="zh-CN"/>
        </w:rPr>
        <w:t>。</w:t>
      </w:r>
    </w:p>
    <w:p w14:paraId="6FE22D6E">
      <w:pPr>
        <w:pStyle w:val="9"/>
        <w:ind w:firstLine="640" w:firstLineChars="200"/>
        <w:rPr>
          <w:rFonts w:hint="eastAsia" w:ascii="仿宋" w:hAnsi="仿宋" w:eastAsia="仿宋"/>
          <w:kern w:val="0"/>
          <w:sz w:val="32"/>
          <w:szCs w:val="32"/>
          <w:highlight w:val="none"/>
        </w:rPr>
      </w:pPr>
      <w:r>
        <w:rPr>
          <w:rFonts w:hint="eastAsia" w:ascii="仿宋" w:hAnsi="仿宋" w:eastAsia="仿宋"/>
          <w:kern w:val="0"/>
          <w:sz w:val="32"/>
          <w:szCs w:val="32"/>
          <w:highlight w:val="none"/>
        </w:rPr>
        <w:t>3.公务用车购置及运行费</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 xml:space="preserve">万元，与 </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年预算数相同。</w:t>
      </w:r>
    </w:p>
    <w:p w14:paraId="43D5C6C0">
      <w:pPr>
        <w:pStyle w:val="9"/>
        <w:rPr>
          <w:rFonts w:hint="eastAsia" w:ascii="楷体" w:hAnsi="楷体" w:eastAsia="楷体" w:cs="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cs="楷体"/>
          <w:sz w:val="32"/>
          <w:szCs w:val="32"/>
          <w:highlight w:val="none"/>
          <w:lang w:eastAsia="zh-CN"/>
        </w:rPr>
        <w:t>八</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w:t>
      </w:r>
      <w:r>
        <w:rPr>
          <w:rFonts w:hint="eastAsia" w:ascii="楷体" w:hAnsi="楷体" w:eastAsia="楷体" w:cs="楷体"/>
          <w:sz w:val="32"/>
          <w:szCs w:val="32"/>
          <w:highlight w:val="none"/>
        </w:rPr>
        <w:t>政府性基金预算</w:t>
      </w:r>
      <w:r>
        <w:rPr>
          <w:rFonts w:hint="eastAsia" w:ascii="楷体" w:hAnsi="楷体" w:eastAsia="楷体" w:cs="楷体"/>
          <w:sz w:val="32"/>
          <w:szCs w:val="32"/>
          <w:highlight w:val="none"/>
          <w:lang w:eastAsia="zh-CN"/>
        </w:rPr>
        <w:t>支出</w:t>
      </w:r>
      <w:r>
        <w:rPr>
          <w:rFonts w:hint="eastAsia" w:ascii="楷体" w:hAnsi="楷体" w:eastAsia="楷体" w:cs="楷体"/>
          <w:sz w:val="32"/>
          <w:szCs w:val="32"/>
          <w:highlight w:val="none"/>
        </w:rPr>
        <w:t>情况</w:t>
      </w:r>
    </w:p>
    <w:p w14:paraId="345D9AB7">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无政府性基金预算</w:t>
      </w:r>
      <w:r>
        <w:rPr>
          <w:rFonts w:hint="eastAsia" w:ascii="仿宋" w:hAnsi="仿宋" w:eastAsia="仿宋"/>
          <w:sz w:val="32"/>
          <w:szCs w:val="32"/>
          <w:highlight w:val="none"/>
          <w:lang w:eastAsia="zh-CN"/>
        </w:rPr>
        <w:t>支出。</w:t>
      </w:r>
    </w:p>
    <w:p w14:paraId="3BC2F447">
      <w:pPr>
        <w:pStyle w:val="9"/>
        <w:ind w:firstLine="640"/>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eastAsia="zh-CN"/>
        </w:rPr>
        <w:t>九</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2025年国有资本经营预算支出情况</w:t>
      </w:r>
    </w:p>
    <w:p w14:paraId="2DF9B1CD">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w:t>
      </w:r>
      <w:r>
        <w:rPr>
          <w:rFonts w:hint="eastAsia" w:ascii="仿宋" w:hAnsi="仿宋" w:eastAsia="仿宋"/>
          <w:sz w:val="32"/>
          <w:szCs w:val="32"/>
          <w:highlight w:val="none"/>
          <w:lang w:eastAsia="zh-CN"/>
        </w:rPr>
        <w:t>国有资本经营预算支出。</w:t>
      </w:r>
    </w:p>
    <w:p w14:paraId="18C2733D">
      <w:pPr>
        <w:numPr>
          <w:ilvl w:val="0"/>
          <w:numId w:val="4"/>
        </w:numPr>
        <w:ind w:left="640" w:leftChars="0" w:firstLine="0" w:firstLineChars="0"/>
        <w:jc w:val="left"/>
        <w:rPr>
          <w:rFonts w:hint="eastAsia" w:ascii="楷体" w:hAnsi="楷体" w:eastAsia="楷体" w:cs="楷体"/>
          <w:sz w:val="32"/>
          <w:szCs w:val="32"/>
          <w:highlight w:val="none"/>
          <w:lang w:eastAsia="zh-CN"/>
        </w:rPr>
      </w:pPr>
      <w:r>
        <w:rPr>
          <w:rFonts w:hint="eastAsia" w:ascii="楷体" w:hAnsi="楷体" w:eastAsia="楷体" w:cs="楷体"/>
          <w:sz w:val="32"/>
          <w:szCs w:val="32"/>
          <w:highlight w:val="none"/>
          <w:lang w:eastAsia="zh-CN"/>
        </w:rPr>
        <w:t>其他重要事项的说明情况</w:t>
      </w:r>
    </w:p>
    <w:p w14:paraId="2B39EB34">
      <w:pPr>
        <w:numPr>
          <w:ilvl w:val="0"/>
          <w:numId w:val="0"/>
        </w:numPr>
        <w:ind w:firstLine="640" w:firstLineChars="200"/>
        <w:jc w:val="left"/>
        <w:rPr>
          <w:rFonts w:hint="eastAsia" w:ascii="楷体" w:hAnsi="楷体" w:eastAsia="楷体" w:cs="楷体"/>
          <w:sz w:val="32"/>
          <w:szCs w:val="32"/>
          <w:highlight w:val="none"/>
        </w:rPr>
      </w:pPr>
      <w:r>
        <w:rPr>
          <w:rFonts w:hint="eastAsia" w:ascii="楷体" w:hAnsi="楷体" w:eastAsia="楷体" w:cs="楷体"/>
          <w:sz w:val="32"/>
          <w:szCs w:val="32"/>
          <w:highlight w:val="none"/>
          <w:lang w:eastAsia="zh-CN"/>
        </w:rPr>
        <w:t>（一）</w:t>
      </w:r>
      <w:r>
        <w:rPr>
          <w:rFonts w:hint="eastAsia" w:ascii="楷体" w:hAnsi="楷体" w:eastAsia="楷体" w:cs="楷体"/>
          <w:sz w:val="32"/>
          <w:szCs w:val="32"/>
          <w:highlight w:val="none"/>
        </w:rPr>
        <w:t>机关运行经费</w:t>
      </w:r>
    </w:p>
    <w:p w14:paraId="4BB3AC35">
      <w:pPr>
        <w:pStyle w:val="8"/>
        <w:ind w:firstLine="64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年部门本级</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家行政单位以及</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家参公管公事业单位的机关运行经费财政拨款预算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w:t>
      </w:r>
      <w:r>
        <w:rPr>
          <w:rFonts w:hint="eastAsia" w:ascii="仿宋" w:hAnsi="仿宋" w:eastAsia="仿宋"/>
          <w:sz w:val="32"/>
          <w:szCs w:val="32"/>
          <w:highlight w:val="none"/>
          <w:lang w:val="en-US" w:eastAsia="zh-CN"/>
        </w:rPr>
        <w:t>与</w:t>
      </w:r>
      <w:r>
        <w:rPr>
          <w:rFonts w:hint="eastAsia" w:ascii="仿宋" w:hAnsi="仿宋" w:eastAsia="仿宋"/>
          <w:sz w:val="32"/>
          <w:szCs w:val="32"/>
          <w:highlight w:val="none"/>
        </w:rPr>
        <w:t xml:space="preserve"> </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年预算</w:t>
      </w:r>
      <w:r>
        <w:rPr>
          <w:rFonts w:hint="eastAsia" w:ascii="仿宋" w:hAnsi="仿宋" w:eastAsia="仿宋"/>
          <w:sz w:val="32"/>
          <w:szCs w:val="32"/>
          <w:highlight w:val="none"/>
          <w:lang w:val="en-US" w:eastAsia="zh-CN"/>
        </w:rPr>
        <w:t>相同</w:t>
      </w:r>
      <w:r>
        <w:rPr>
          <w:rFonts w:hint="eastAsia" w:ascii="仿宋" w:hAnsi="仿宋" w:eastAsia="仿宋"/>
          <w:sz w:val="32"/>
          <w:szCs w:val="32"/>
          <w:highlight w:val="none"/>
          <w:lang w:eastAsia="zh-CN"/>
        </w:rPr>
        <w:t>。</w:t>
      </w:r>
    </w:p>
    <w:p w14:paraId="6BA0B809">
      <w:pPr>
        <w:pStyle w:val="8"/>
        <w:numPr>
          <w:ilvl w:val="0"/>
          <w:numId w:val="0"/>
        </w:numPr>
        <w:ind w:firstLine="640" w:firstLineChars="200"/>
        <w:rPr>
          <w:rFonts w:hint="eastAsia" w:ascii="仿宋" w:hAnsi="仿宋" w:eastAsia="仿宋"/>
          <w:sz w:val="32"/>
          <w:szCs w:val="32"/>
          <w:highlight w:val="none"/>
          <w:lang w:val="en-US" w:eastAsia="zh-CN"/>
        </w:rPr>
      </w:pPr>
      <w:r>
        <w:rPr>
          <w:rFonts w:hint="eastAsia" w:ascii="楷体" w:hAnsi="楷体" w:eastAsia="楷体" w:cs="楷体"/>
          <w:kern w:val="2"/>
          <w:sz w:val="32"/>
          <w:szCs w:val="32"/>
          <w:highlight w:val="none"/>
          <w:lang w:val="en-US" w:eastAsia="zh-CN" w:bidi="ar-SA"/>
        </w:rPr>
        <w:t>（二）委托业务费</w:t>
      </w:r>
    </w:p>
    <w:p w14:paraId="496034EF">
      <w:pPr>
        <w:pStyle w:val="8"/>
        <w:numPr>
          <w:ilvl w:val="0"/>
          <w:numId w:val="0"/>
        </w:numPr>
        <w:rPr>
          <w:rFonts w:hint="default" w:ascii="仿宋" w:hAnsi="仿宋" w:eastAsia="仿宋"/>
          <w:sz w:val="32"/>
          <w:szCs w:val="32"/>
          <w:highlight w:val="yellow"/>
          <w:lang w:val="en-US" w:eastAsia="zh-CN"/>
        </w:rPr>
      </w:pPr>
      <w:r>
        <w:rPr>
          <w:rFonts w:hint="eastAsia" w:ascii="仿宋" w:hAnsi="仿宋" w:eastAsia="仿宋"/>
          <w:sz w:val="32"/>
          <w:szCs w:val="32"/>
          <w:highlight w:val="none"/>
          <w:lang w:val="en-US" w:eastAsia="zh-CN"/>
        </w:rPr>
        <w:t xml:space="preserve">    </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5</w:t>
      </w:r>
      <w:r>
        <w:rPr>
          <w:rFonts w:hint="eastAsia" w:ascii="仿宋" w:hAnsi="仿宋" w:eastAsia="仿宋"/>
          <w:kern w:val="0"/>
          <w:sz w:val="32"/>
          <w:szCs w:val="32"/>
          <w:highlight w:val="none"/>
        </w:rPr>
        <w:t>年</w:t>
      </w:r>
      <w:r>
        <w:rPr>
          <w:rFonts w:hint="eastAsia" w:ascii="仿宋" w:hAnsi="仿宋" w:eastAsia="仿宋"/>
          <w:kern w:val="0"/>
          <w:sz w:val="32"/>
          <w:szCs w:val="32"/>
          <w:highlight w:val="none"/>
          <w:lang w:eastAsia="zh-CN"/>
        </w:rPr>
        <w:t>委托业务费</w:t>
      </w:r>
      <w:r>
        <w:rPr>
          <w:rFonts w:hint="eastAsia" w:ascii="仿宋" w:hAnsi="仿宋" w:eastAsia="仿宋"/>
          <w:kern w:val="0"/>
          <w:sz w:val="32"/>
          <w:szCs w:val="32"/>
          <w:highlight w:val="none"/>
        </w:rPr>
        <w:t>预算数</w:t>
      </w:r>
      <w:r>
        <w:rPr>
          <w:rFonts w:hint="eastAsia" w:ascii="仿宋" w:hAnsi="仿宋" w:eastAsia="仿宋"/>
          <w:kern w:val="0"/>
          <w:sz w:val="32"/>
          <w:szCs w:val="32"/>
          <w:highlight w:val="none"/>
          <w:lang w:val="en-US" w:eastAsia="zh-CN"/>
        </w:rPr>
        <w:t xml:space="preserve">0 </w:t>
      </w:r>
      <w:r>
        <w:rPr>
          <w:rFonts w:hint="eastAsia" w:ascii="仿宋" w:hAnsi="仿宋" w:eastAsia="仿宋"/>
          <w:kern w:val="0"/>
          <w:sz w:val="32"/>
          <w:szCs w:val="32"/>
          <w:highlight w:val="none"/>
        </w:rPr>
        <w:t>万元，</w:t>
      </w:r>
      <w:r>
        <w:rPr>
          <w:rFonts w:hint="eastAsia" w:ascii="仿宋" w:hAnsi="仿宋" w:eastAsia="仿宋"/>
          <w:sz w:val="32"/>
          <w:szCs w:val="32"/>
          <w:highlight w:val="none"/>
          <w:lang w:val="en-US" w:eastAsia="zh-CN"/>
        </w:rPr>
        <w:t>与</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年预算</w:t>
      </w:r>
      <w:r>
        <w:rPr>
          <w:rFonts w:hint="eastAsia" w:ascii="仿宋" w:hAnsi="仿宋" w:eastAsia="仿宋"/>
          <w:sz w:val="32"/>
          <w:szCs w:val="32"/>
          <w:highlight w:val="none"/>
          <w:lang w:val="en-US" w:eastAsia="zh-CN"/>
        </w:rPr>
        <w:t>相同</w:t>
      </w:r>
      <w:r>
        <w:rPr>
          <w:rFonts w:hint="eastAsia" w:ascii="仿宋" w:hAnsi="仿宋" w:eastAsia="仿宋"/>
          <w:sz w:val="32"/>
          <w:szCs w:val="32"/>
          <w:highlight w:val="none"/>
          <w:lang w:eastAsia="zh-CN"/>
        </w:rPr>
        <w:t>。</w:t>
      </w:r>
    </w:p>
    <w:p w14:paraId="09DE3A30">
      <w:p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（三）</w:t>
      </w:r>
      <w:r>
        <w:rPr>
          <w:rFonts w:hint="eastAsia" w:ascii="楷体" w:hAnsi="楷体" w:eastAsia="楷体"/>
          <w:sz w:val="32"/>
          <w:szCs w:val="32"/>
          <w:highlight w:val="none"/>
        </w:rPr>
        <w:t>政府采购情况</w:t>
      </w:r>
    </w:p>
    <w:p w14:paraId="06BD05DD">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年政府采购预算总额</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万元，其中：政府采购办公设备和其他设备预算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万元，政府采购工程预算</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万元，政府采购服务预算</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万元。</w:t>
      </w:r>
    </w:p>
    <w:p w14:paraId="3B5F443F">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lang w:eastAsia="zh-CN"/>
        </w:rPr>
        <w:t>（四）</w:t>
      </w:r>
      <w:r>
        <w:rPr>
          <w:rFonts w:hint="eastAsia" w:ascii="楷体" w:hAnsi="楷体" w:eastAsia="楷体"/>
          <w:sz w:val="32"/>
          <w:szCs w:val="32"/>
          <w:highlight w:val="none"/>
        </w:rPr>
        <w:t>国有资产占</w:t>
      </w:r>
      <w:r>
        <w:rPr>
          <w:rFonts w:hint="eastAsia" w:ascii="楷体" w:hAnsi="楷体" w:eastAsia="楷体"/>
          <w:sz w:val="32"/>
          <w:szCs w:val="32"/>
          <w:highlight w:val="none"/>
          <w:lang w:eastAsia="zh-CN"/>
        </w:rPr>
        <w:t>有使</w:t>
      </w:r>
      <w:r>
        <w:rPr>
          <w:rFonts w:hint="eastAsia" w:ascii="楷体" w:hAnsi="楷体" w:eastAsia="楷体"/>
          <w:sz w:val="32"/>
          <w:szCs w:val="32"/>
          <w:highlight w:val="none"/>
        </w:rPr>
        <w:t>用情况</w:t>
      </w:r>
    </w:p>
    <w:p w14:paraId="78EE37B3">
      <w:pPr>
        <w:pStyle w:val="8"/>
        <w:ind w:firstLine="0" w:firstLineChars="0"/>
        <w:jc w:val="left"/>
        <w:rPr>
          <w:rFonts w:ascii="仿宋" w:hAnsi="仿宋" w:eastAsia="仿宋"/>
          <w:sz w:val="32"/>
          <w:szCs w:val="32"/>
          <w:highlight w:val="none"/>
        </w:rPr>
      </w:pPr>
      <w:r>
        <w:rPr>
          <w:rFonts w:hint="eastAsia" w:ascii="仿宋" w:hAnsi="仿宋" w:eastAsia="仿宋"/>
          <w:sz w:val="32"/>
          <w:szCs w:val="32"/>
          <w:highlight w:val="none"/>
        </w:rPr>
        <w:t xml:space="preserve">    截至</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月，部门本级和所属各预算单位共有车辆</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辆，其中，领导干部用车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辆、一般公务用车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辆,一般执法执勤用车</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辆、特种专业技术用车</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辆、其他用车</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辆，价值200万元以上大型设备</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台（套）。</w:t>
      </w:r>
    </w:p>
    <w:p w14:paraId="51C70C49">
      <w:pPr>
        <w:pStyle w:val="8"/>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年部门预算安排购置车辆及价值200万元以上大型设备</w:t>
      </w:r>
      <w:r>
        <w:rPr>
          <w:rFonts w:hint="eastAsia" w:ascii="仿宋" w:hAnsi="仿宋" w:eastAsia="仿宋"/>
          <w:sz w:val="32"/>
          <w:szCs w:val="32"/>
          <w:highlight w:val="none"/>
          <w:lang w:val="en-US" w:eastAsia="zh-CN"/>
        </w:rPr>
        <w:t xml:space="preserve">0 </w:t>
      </w:r>
      <w:r>
        <w:rPr>
          <w:rFonts w:hint="eastAsia" w:ascii="仿宋" w:hAnsi="仿宋" w:eastAsia="仿宋"/>
          <w:sz w:val="32"/>
          <w:szCs w:val="32"/>
          <w:highlight w:val="none"/>
        </w:rPr>
        <w:t>万元。</w:t>
      </w:r>
    </w:p>
    <w:p w14:paraId="311C1A7A">
      <w:pPr>
        <w:numPr>
          <w:ilvl w:val="0"/>
          <w:numId w:val="0"/>
        </w:num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（五）</w:t>
      </w:r>
      <w:r>
        <w:rPr>
          <w:rFonts w:hint="eastAsia" w:ascii="楷体" w:hAnsi="楷体" w:eastAsia="楷体"/>
          <w:sz w:val="32"/>
          <w:szCs w:val="32"/>
          <w:highlight w:val="none"/>
        </w:rPr>
        <w:t>预算项目绩效目标</w:t>
      </w:r>
      <w:r>
        <w:rPr>
          <w:rFonts w:hint="eastAsia" w:ascii="楷体" w:hAnsi="楷体" w:eastAsia="楷体"/>
          <w:sz w:val="32"/>
          <w:szCs w:val="32"/>
          <w:highlight w:val="none"/>
          <w:lang w:eastAsia="zh-CN"/>
        </w:rPr>
        <w:t>管理</w:t>
      </w:r>
      <w:r>
        <w:rPr>
          <w:rFonts w:hint="eastAsia" w:ascii="楷体" w:hAnsi="楷体" w:eastAsia="楷体"/>
          <w:sz w:val="32"/>
          <w:szCs w:val="32"/>
          <w:highlight w:val="none"/>
        </w:rPr>
        <w:t>情况</w:t>
      </w:r>
    </w:p>
    <w:p w14:paraId="37F46555">
      <w:pPr>
        <w:jc w:val="left"/>
        <w:rPr>
          <w:rFonts w:ascii="仿宋" w:hAnsi="仿宋" w:eastAsia="仿宋"/>
          <w:sz w:val="32"/>
          <w:szCs w:val="32"/>
          <w:highlight w:val="none"/>
        </w:rPr>
      </w:pPr>
      <w:r>
        <w:rPr>
          <w:rFonts w:hint="eastAsia" w:ascii="仿宋" w:hAnsi="仿宋" w:eastAsia="仿宋"/>
          <w:sz w:val="32"/>
          <w:szCs w:val="32"/>
          <w:highlight w:val="none"/>
        </w:rPr>
        <w:t xml:space="preserve">    按照全面实施预算绩效管理的要求，结合本部门职能和重点工作，</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 xml:space="preserve">年确定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个部门本级预算项目，涉及金额</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w:t>
      </w:r>
    </w:p>
    <w:p w14:paraId="03FF209D">
      <w:pPr>
        <w:jc w:val="left"/>
        <w:rPr>
          <w:rFonts w:ascii="仿宋" w:hAnsi="仿宋" w:eastAsia="仿宋"/>
          <w:sz w:val="32"/>
          <w:szCs w:val="32"/>
          <w:highlight w:val="none"/>
        </w:rPr>
      </w:pPr>
    </w:p>
    <w:p w14:paraId="4A15235B">
      <w:pPr>
        <w:jc w:val="center"/>
        <w:rPr>
          <w:rFonts w:ascii="仿宋" w:hAnsi="仿宋" w:eastAsia="仿宋"/>
          <w:sz w:val="32"/>
          <w:szCs w:val="32"/>
          <w:highlight w:val="none"/>
        </w:rPr>
      </w:pPr>
    </w:p>
    <w:p w14:paraId="3BD4CCC0">
      <w:pPr>
        <w:jc w:val="center"/>
        <w:rPr>
          <w:rFonts w:ascii="黑体" w:hAnsi="黑体" w:eastAsia="黑体"/>
          <w:sz w:val="32"/>
          <w:szCs w:val="32"/>
          <w:highlight w:val="none"/>
        </w:rPr>
      </w:pPr>
      <w:r>
        <w:rPr>
          <w:rFonts w:hint="eastAsia" w:ascii="黑体" w:hAnsi="黑体" w:eastAsia="黑体"/>
          <w:sz w:val="32"/>
          <w:szCs w:val="32"/>
          <w:highlight w:val="none"/>
        </w:rPr>
        <w:t>第三部分  名词解释</w:t>
      </w:r>
    </w:p>
    <w:p w14:paraId="7CE9E3FB">
      <w:pPr>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一、</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拨款收入：指</w:t>
      </w:r>
      <w:r>
        <w:rPr>
          <w:rFonts w:hint="eastAsia" w:ascii="仿宋_GB2312" w:eastAsia="仿宋_GB2312"/>
          <w:sz w:val="32"/>
          <w:szCs w:val="32"/>
          <w:highlight w:val="none"/>
          <w:lang w:eastAsia="zh-CN"/>
        </w:rPr>
        <w:t>本级</w:t>
      </w:r>
      <w:r>
        <w:rPr>
          <w:rFonts w:hint="eastAsia" w:ascii="仿宋_GB2312" w:eastAsia="仿宋_GB2312"/>
          <w:sz w:val="32"/>
          <w:szCs w:val="32"/>
          <w:highlight w:val="none"/>
        </w:rPr>
        <w:t>财政</w:t>
      </w:r>
      <w:r>
        <w:rPr>
          <w:rFonts w:hint="eastAsia" w:ascii="仿宋_GB2312" w:eastAsia="仿宋_GB2312"/>
          <w:sz w:val="32"/>
          <w:szCs w:val="32"/>
          <w:highlight w:val="none"/>
          <w:lang w:eastAsia="zh-CN"/>
        </w:rPr>
        <w:t>通过</w:t>
      </w:r>
      <w:r>
        <w:rPr>
          <w:rFonts w:hint="eastAsia" w:ascii="仿宋_GB2312" w:eastAsia="仿宋_GB2312"/>
          <w:sz w:val="32"/>
          <w:szCs w:val="32"/>
          <w:highlight w:val="none"/>
        </w:rPr>
        <w:t>当年</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拨付的资金。</w:t>
      </w:r>
    </w:p>
    <w:p w14:paraId="1C89DB10">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二、政府性基金预算拨款收入：指本级财政通过当年政府性基金预算拨付的资金。</w:t>
      </w:r>
    </w:p>
    <w:p w14:paraId="6AEE78B5">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三、国有资本经营预算拨款收入：指本级财政通过当年国有资本经营预算拨付的资金。</w:t>
      </w:r>
    </w:p>
    <w:p w14:paraId="0E004B95">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四、</w:t>
      </w:r>
      <w:r>
        <w:rPr>
          <w:rFonts w:hint="eastAsia" w:ascii="仿宋_GB2312" w:eastAsia="仿宋_GB2312"/>
          <w:sz w:val="32"/>
          <w:szCs w:val="32"/>
          <w:highlight w:val="none"/>
        </w:rPr>
        <w:t>其他收入：指除上述收入以外的各项收入。包括银行存款利息收入。</w:t>
      </w:r>
    </w:p>
    <w:p w14:paraId="485E0710">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五</w:t>
      </w:r>
      <w:r>
        <w:rPr>
          <w:rFonts w:hint="eastAsia" w:ascii="仿宋_GB2312" w:eastAsia="仿宋_GB2312"/>
          <w:sz w:val="32"/>
          <w:szCs w:val="32"/>
          <w:highlight w:val="none"/>
        </w:rPr>
        <w:t>、基本支出：指为保障机构正常运转、完成日常工作任务而发生的人员支出和公用支出等各项支出。</w:t>
      </w:r>
    </w:p>
    <w:p w14:paraId="7C99082B">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六</w:t>
      </w:r>
      <w:r>
        <w:rPr>
          <w:rFonts w:hint="eastAsia" w:ascii="仿宋_GB2312" w:eastAsia="仿宋_GB2312"/>
          <w:sz w:val="32"/>
          <w:szCs w:val="32"/>
          <w:highlight w:val="none"/>
        </w:rPr>
        <w:t>、项目支出：指在基本支出之外为完成特定行政工作任务和事业发展目标所发生的各项支出。</w:t>
      </w:r>
    </w:p>
    <w:p w14:paraId="5BF2EF67">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七</w:t>
      </w:r>
      <w:r>
        <w:rPr>
          <w:rFonts w:hint="eastAsia" w:ascii="仿宋_GB2312" w:eastAsia="仿宋_GB2312"/>
          <w:sz w:val="32"/>
          <w:szCs w:val="32"/>
          <w:highlight w:val="none"/>
        </w:rPr>
        <w:t>、年初结转和结余：指以前年度尚未完成、结转到本年仍按原规定用途继续使用的资金，或项目已完成等产生的结余资金。</w:t>
      </w:r>
    </w:p>
    <w:p w14:paraId="0B9199E5">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八</w:t>
      </w:r>
      <w:r>
        <w:rPr>
          <w:rFonts w:hint="eastAsia" w:ascii="仿宋_GB2312" w:eastAsia="仿宋_GB2312"/>
          <w:sz w:val="32"/>
          <w:szCs w:val="32"/>
          <w:highlight w:val="none"/>
        </w:rPr>
        <w:t>、年末结转和结余：指事业单位按有关规定结转到下年或以后年度继续使用的资金，或项目已完成等产生的结余资金。</w:t>
      </w:r>
    </w:p>
    <w:p w14:paraId="6514EE97">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九</w:t>
      </w:r>
      <w:r>
        <w:rPr>
          <w:rFonts w:hint="eastAsia" w:ascii="仿宋_GB2312" w:eastAsia="仿宋_GB2312"/>
          <w:sz w:val="32"/>
          <w:szCs w:val="32"/>
          <w:highlight w:val="none"/>
        </w:rPr>
        <w:t>、“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2CDDC6BC">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w:t>
      </w:r>
      <w:r>
        <w:rPr>
          <w:rFonts w:hint="eastAsia" w:ascii="仿宋_GB2312" w:eastAsia="仿宋_GB2312"/>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39595FAE">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十一</w:t>
      </w:r>
      <w:r>
        <w:rPr>
          <w:rFonts w:hint="eastAsia" w:ascii="仿宋_GB2312" w:eastAsia="仿宋_GB2312"/>
          <w:sz w:val="32"/>
          <w:szCs w:val="32"/>
          <w:highlight w:val="none"/>
        </w:rPr>
        <w:t>、住房公积金支出：指行政事业单位按人力资源和社会保障部、财政部规定的基本工资和津贴补贴以及规定比例为职工缴纳的住房公积金支出。</w:t>
      </w:r>
    </w:p>
    <w:p w14:paraId="7929A1B4">
      <w:pPr>
        <w:ind w:firstLine="640" w:firstLineChars="200"/>
        <w:jc w:val="left"/>
        <w:rPr>
          <w:rFonts w:ascii="仿宋_GB2312" w:hAnsi="仿宋_GB2312" w:eastAsia="仿宋_GB2312" w:cs="Times New Roman"/>
          <w:kern w:val="0"/>
          <w:sz w:val="32"/>
          <w:szCs w:val="32"/>
          <w:highlight w:val="none"/>
        </w:rPr>
      </w:pPr>
      <w:r>
        <w:rPr>
          <w:rFonts w:hint="eastAsia" w:ascii="仿宋_GB2312" w:eastAsia="仿宋_GB2312"/>
          <w:sz w:val="32"/>
          <w:szCs w:val="32"/>
          <w:highlight w:val="none"/>
        </w:rPr>
        <w:t>十</w:t>
      </w:r>
      <w:r>
        <w:rPr>
          <w:rFonts w:hint="eastAsia" w:ascii="仿宋_GB2312" w:eastAsia="仿宋_GB2312"/>
          <w:sz w:val="32"/>
          <w:szCs w:val="32"/>
          <w:highlight w:val="none"/>
          <w:lang w:eastAsia="zh-CN"/>
        </w:rPr>
        <w:t>二</w:t>
      </w:r>
      <w:r>
        <w:rPr>
          <w:rFonts w:hint="eastAsia" w:ascii="仿宋_GB2312" w:eastAsia="仿宋_GB2312"/>
          <w:sz w:val="32"/>
          <w:szCs w:val="32"/>
          <w:highlight w:val="none"/>
        </w:rPr>
        <w:t>、项目支出绩效目标：</w:t>
      </w:r>
      <w:r>
        <w:rPr>
          <w:rFonts w:ascii="仿宋_GB2312" w:hAnsi="仿宋_GB2312" w:eastAsia="仿宋_GB2312" w:cs="Times New Roman"/>
          <w:kern w:val="0"/>
          <w:sz w:val="32"/>
          <w:szCs w:val="32"/>
          <w:highlight w:val="none"/>
        </w:rPr>
        <w:t>是以项目支出为对象，以项目实施所带来的产出和结果为主要内容，</w:t>
      </w:r>
      <w:r>
        <w:rPr>
          <w:rFonts w:hint="eastAsia" w:ascii="仿宋_GB2312" w:hAnsi="仿宋_GB2312" w:eastAsia="仿宋_GB2312" w:cs="Times New Roman"/>
          <w:kern w:val="0"/>
          <w:sz w:val="32"/>
          <w:szCs w:val="32"/>
          <w:highlight w:val="none"/>
        </w:rPr>
        <w:t>为</w:t>
      </w:r>
      <w:r>
        <w:rPr>
          <w:rFonts w:ascii="仿宋_GB2312" w:hAnsi="仿宋_GB2312" w:eastAsia="仿宋_GB2312" w:cs="Times New Roman"/>
          <w:kern w:val="0"/>
          <w:sz w:val="32"/>
          <w:szCs w:val="32"/>
          <w:highlight w:val="none"/>
        </w:rPr>
        <w:t>促进预算单位完成特定工作任务或事业发展</w:t>
      </w:r>
      <w:r>
        <w:rPr>
          <w:rFonts w:hint="eastAsia" w:ascii="仿宋_GB2312" w:hAnsi="仿宋_GB2312" w:eastAsia="仿宋_GB2312" w:cs="Times New Roman"/>
          <w:kern w:val="0"/>
          <w:sz w:val="32"/>
          <w:szCs w:val="32"/>
          <w:highlight w:val="none"/>
        </w:rPr>
        <w:t>所制定的</w:t>
      </w:r>
      <w:r>
        <w:rPr>
          <w:rFonts w:ascii="仿宋_GB2312" w:hAnsi="仿宋_GB2312" w:eastAsia="仿宋_GB2312" w:cs="Times New Roman"/>
          <w:kern w:val="0"/>
          <w:sz w:val="32"/>
          <w:szCs w:val="32"/>
          <w:highlight w:val="none"/>
        </w:rPr>
        <w:t>目标</w:t>
      </w:r>
      <w:r>
        <w:rPr>
          <w:rFonts w:hint="eastAsia" w:ascii="仿宋_GB2312" w:hAnsi="仿宋_GB2312" w:eastAsia="仿宋_GB2312" w:cs="Times New Roman"/>
          <w:kern w:val="0"/>
          <w:sz w:val="32"/>
          <w:szCs w:val="32"/>
          <w:highlight w:val="none"/>
        </w:rPr>
        <w:t>。</w:t>
      </w:r>
    </w:p>
    <w:p w14:paraId="385809DB">
      <w:pPr>
        <w:ind w:firstLine="640" w:firstLineChars="200"/>
        <w:rPr>
          <w:rFonts w:ascii="仿宋_GB2312" w:eastAsia="仿宋_GB2312"/>
          <w:sz w:val="32"/>
          <w:szCs w:val="32"/>
          <w:highlight w:val="none"/>
        </w:rPr>
      </w:pPr>
    </w:p>
    <w:p w14:paraId="67FDDBE7">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57CBC446">
      <w:pPr>
        <w:jc w:val="left"/>
        <w:rPr>
          <w:rFonts w:ascii="仿宋" w:hAnsi="仿宋" w:eastAsia="仿宋"/>
          <w:sz w:val="32"/>
          <w:szCs w:val="32"/>
          <w:highlight w:val="none"/>
        </w:rPr>
      </w:pPr>
    </w:p>
    <w:p w14:paraId="4C6658A7">
      <w:pPr>
        <w:jc w:val="left"/>
        <w:rPr>
          <w:rFonts w:ascii="仿宋" w:hAnsi="仿宋" w:eastAsia="仿宋"/>
          <w:sz w:val="32"/>
          <w:szCs w:val="32"/>
          <w:highlight w:val="none"/>
        </w:rPr>
      </w:pPr>
    </w:p>
    <w:p w14:paraId="57328494">
      <w:pPr>
        <w:jc w:val="cente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45B2629D">
      <w:pPr>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年部门预算表套表（</w:t>
      </w:r>
      <w:r>
        <w:rPr>
          <w:rFonts w:hint="eastAsia" w:ascii="仿宋" w:hAnsi="仿宋" w:eastAsia="仿宋"/>
          <w:sz w:val="32"/>
          <w:szCs w:val="32"/>
          <w:highlight w:val="none"/>
          <w:lang w:eastAsia="zh-CN"/>
        </w:rPr>
        <w:t>预算一体化系统报表查询模块中提取相应数据</w:t>
      </w:r>
      <w:r>
        <w:rPr>
          <w:rFonts w:hint="eastAsia" w:ascii="仿宋" w:hAnsi="仿宋" w:eastAsia="仿宋"/>
          <w:sz w:val="32"/>
          <w:szCs w:val="32"/>
          <w:highlight w:val="none"/>
        </w:rPr>
        <w:t>）.</w:t>
      </w:r>
    </w:p>
    <w:p w14:paraId="708CD0B7">
      <w:pPr>
        <w:rPr>
          <w:rFonts w:ascii="仿宋" w:hAnsi="仿宋" w:eastAsia="仿宋"/>
          <w:sz w:val="32"/>
          <w:szCs w:val="32"/>
          <w:highlight w:val="none"/>
        </w:rPr>
      </w:pPr>
    </w:p>
    <w:p w14:paraId="037989FE">
      <w:pPr>
        <w:rPr>
          <w:rFonts w:ascii="仿宋" w:hAnsi="仿宋" w:eastAsia="仿宋"/>
          <w:b/>
          <w:sz w:val="32"/>
          <w:szCs w:val="32"/>
          <w:highlight w:val="none"/>
        </w:rPr>
      </w:pPr>
      <w:r>
        <w:rPr>
          <w:rFonts w:hint="eastAsia" w:ascii="仿宋" w:hAnsi="仿宋" w:eastAsia="仿宋"/>
          <w:b/>
          <w:sz w:val="32"/>
          <w:szCs w:val="32"/>
          <w:highlight w:val="none"/>
        </w:rPr>
        <w:t>注意：</w:t>
      </w:r>
      <w:r>
        <w:rPr>
          <w:rFonts w:hint="eastAsia" w:ascii="仿宋" w:hAnsi="仿宋" w:eastAsia="仿宋"/>
          <w:b/>
          <w:sz w:val="32"/>
          <w:szCs w:val="32"/>
          <w:highlight w:val="none"/>
          <w:lang w:val="en-US" w:eastAsia="zh-CN"/>
        </w:rPr>
        <w:t>请勿删减文字部分内容，</w:t>
      </w:r>
      <w:r>
        <w:rPr>
          <w:rFonts w:hint="eastAsia" w:ascii="仿宋" w:hAnsi="仿宋" w:eastAsia="仿宋"/>
          <w:b/>
          <w:sz w:val="32"/>
          <w:szCs w:val="32"/>
          <w:highlight w:val="none"/>
        </w:rPr>
        <w:t>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leftChars="0" w:firstLine="0" w:firstLineChars="0"/>
      </w:pPr>
      <w:rPr>
        <w:rFonts w:hint="eastAsia"/>
      </w:rPr>
    </w:lvl>
  </w:abstractNum>
  <w:abstractNum w:abstractNumId="1">
    <w:nsid w:val="2F24B19F"/>
    <w:multiLevelType w:val="singleLevel"/>
    <w:tmpl w:val="2F24B19F"/>
    <w:lvl w:ilvl="0" w:tentative="0">
      <w:start w:val="1"/>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722D32"/>
    <w:rsid w:val="00740031"/>
    <w:rsid w:val="00745992"/>
    <w:rsid w:val="00746DAF"/>
    <w:rsid w:val="007663EF"/>
    <w:rsid w:val="00770198"/>
    <w:rsid w:val="007B276D"/>
    <w:rsid w:val="007D3846"/>
    <w:rsid w:val="00806CC6"/>
    <w:rsid w:val="00815C4B"/>
    <w:rsid w:val="008B501D"/>
    <w:rsid w:val="00942596"/>
    <w:rsid w:val="00971A2E"/>
    <w:rsid w:val="009A3FBB"/>
    <w:rsid w:val="009C3948"/>
    <w:rsid w:val="009E4C36"/>
    <w:rsid w:val="00A12A00"/>
    <w:rsid w:val="00A31D89"/>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5EFE"/>
    <w:rsid w:val="00DC6B72"/>
    <w:rsid w:val="00DF38C6"/>
    <w:rsid w:val="00E168F9"/>
    <w:rsid w:val="00E20B1E"/>
    <w:rsid w:val="00E343EE"/>
    <w:rsid w:val="00E53AE6"/>
    <w:rsid w:val="00ED0CE4"/>
    <w:rsid w:val="00F30AB2"/>
    <w:rsid w:val="00F51569"/>
    <w:rsid w:val="00FD1DC5"/>
    <w:rsid w:val="01640BD1"/>
    <w:rsid w:val="018E6F43"/>
    <w:rsid w:val="01EC1B1D"/>
    <w:rsid w:val="034968DF"/>
    <w:rsid w:val="03D7309C"/>
    <w:rsid w:val="03F248D4"/>
    <w:rsid w:val="058B2013"/>
    <w:rsid w:val="07C71E05"/>
    <w:rsid w:val="0A450E4E"/>
    <w:rsid w:val="0A7F599D"/>
    <w:rsid w:val="0B4115AF"/>
    <w:rsid w:val="0C633590"/>
    <w:rsid w:val="0C7C5D37"/>
    <w:rsid w:val="0D0F40E1"/>
    <w:rsid w:val="0E0E4A27"/>
    <w:rsid w:val="0E235FAD"/>
    <w:rsid w:val="0E5071DB"/>
    <w:rsid w:val="0E933B6E"/>
    <w:rsid w:val="0F4C4086"/>
    <w:rsid w:val="10D9450A"/>
    <w:rsid w:val="112B3A0C"/>
    <w:rsid w:val="117169F8"/>
    <w:rsid w:val="11DF6BD5"/>
    <w:rsid w:val="12C62CA4"/>
    <w:rsid w:val="150B590C"/>
    <w:rsid w:val="15DA5399"/>
    <w:rsid w:val="187E3884"/>
    <w:rsid w:val="18F97B94"/>
    <w:rsid w:val="191A0446"/>
    <w:rsid w:val="1B4A363A"/>
    <w:rsid w:val="1BC526EF"/>
    <w:rsid w:val="1C882350"/>
    <w:rsid w:val="1CDC1A5B"/>
    <w:rsid w:val="1E78177F"/>
    <w:rsid w:val="1F451F7A"/>
    <w:rsid w:val="20EF71F1"/>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4A905DD"/>
    <w:rsid w:val="36273D08"/>
    <w:rsid w:val="37361A0B"/>
    <w:rsid w:val="38253B59"/>
    <w:rsid w:val="382E47F1"/>
    <w:rsid w:val="385B501F"/>
    <w:rsid w:val="38DE30B8"/>
    <w:rsid w:val="39284901"/>
    <w:rsid w:val="3A482539"/>
    <w:rsid w:val="3A915046"/>
    <w:rsid w:val="3C4C15D1"/>
    <w:rsid w:val="3CEA5A8A"/>
    <w:rsid w:val="3D897F97"/>
    <w:rsid w:val="3DA7578C"/>
    <w:rsid w:val="3F356B12"/>
    <w:rsid w:val="3F597259"/>
    <w:rsid w:val="3F6B774D"/>
    <w:rsid w:val="42202CED"/>
    <w:rsid w:val="426F369B"/>
    <w:rsid w:val="430260DD"/>
    <w:rsid w:val="442476FC"/>
    <w:rsid w:val="442F01B5"/>
    <w:rsid w:val="46C17DAD"/>
    <w:rsid w:val="46F64D5D"/>
    <w:rsid w:val="49B81F53"/>
    <w:rsid w:val="4AAC7860"/>
    <w:rsid w:val="4D0265B8"/>
    <w:rsid w:val="4D8021B9"/>
    <w:rsid w:val="4DFF6777"/>
    <w:rsid w:val="4EB752BA"/>
    <w:rsid w:val="4ED6365B"/>
    <w:rsid w:val="4F5E1E42"/>
    <w:rsid w:val="4F735000"/>
    <w:rsid w:val="50F75E7E"/>
    <w:rsid w:val="51436F0F"/>
    <w:rsid w:val="519D4F00"/>
    <w:rsid w:val="51BB428B"/>
    <w:rsid w:val="52DF1D28"/>
    <w:rsid w:val="5322605D"/>
    <w:rsid w:val="53A4083B"/>
    <w:rsid w:val="54923E8D"/>
    <w:rsid w:val="54941844"/>
    <w:rsid w:val="5538455E"/>
    <w:rsid w:val="55DE0CCF"/>
    <w:rsid w:val="567F658B"/>
    <w:rsid w:val="56A94595"/>
    <w:rsid w:val="580A299B"/>
    <w:rsid w:val="58330B85"/>
    <w:rsid w:val="58CD2109"/>
    <w:rsid w:val="5B5D76B7"/>
    <w:rsid w:val="5B8E44C5"/>
    <w:rsid w:val="5C982767"/>
    <w:rsid w:val="5CD80EBE"/>
    <w:rsid w:val="5CFA751D"/>
    <w:rsid w:val="5DB8541C"/>
    <w:rsid w:val="5E221344"/>
    <w:rsid w:val="5E32788E"/>
    <w:rsid w:val="5FB128C2"/>
    <w:rsid w:val="60731B65"/>
    <w:rsid w:val="60D72763"/>
    <w:rsid w:val="61525EF8"/>
    <w:rsid w:val="62B666A5"/>
    <w:rsid w:val="62E15FE9"/>
    <w:rsid w:val="65255B39"/>
    <w:rsid w:val="659C7B1A"/>
    <w:rsid w:val="65E847CC"/>
    <w:rsid w:val="67286561"/>
    <w:rsid w:val="691F508E"/>
    <w:rsid w:val="6A340295"/>
    <w:rsid w:val="6A5666B8"/>
    <w:rsid w:val="6C626D3D"/>
    <w:rsid w:val="6DF0400D"/>
    <w:rsid w:val="6E5B22F8"/>
    <w:rsid w:val="6EB92B57"/>
    <w:rsid w:val="70EF2762"/>
    <w:rsid w:val="71201EF9"/>
    <w:rsid w:val="716F5053"/>
    <w:rsid w:val="71D91536"/>
    <w:rsid w:val="729E55FD"/>
    <w:rsid w:val="73D62900"/>
    <w:rsid w:val="73FA7C77"/>
    <w:rsid w:val="744F0BEE"/>
    <w:rsid w:val="74A55A8E"/>
    <w:rsid w:val="7539654A"/>
    <w:rsid w:val="75836739"/>
    <w:rsid w:val="75916F41"/>
    <w:rsid w:val="76C753DE"/>
    <w:rsid w:val="76C775D8"/>
    <w:rsid w:val="77FC6956"/>
    <w:rsid w:val="79B27468"/>
    <w:rsid w:val="7A64282A"/>
    <w:rsid w:val="7A8D6ADA"/>
    <w:rsid w:val="7CD763A1"/>
    <w:rsid w:val="7DB366E4"/>
    <w:rsid w:val="7E3B2C6B"/>
    <w:rsid w:val="7E492DA2"/>
    <w:rsid w:val="7F035665"/>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11</Pages>
  <Words>3147</Words>
  <Characters>3403</Characters>
  <Lines>19</Lines>
  <Paragraphs>5</Paragraphs>
  <TotalTime>8</TotalTime>
  <ScaleCrop>false</ScaleCrop>
  <LinksUpToDate>false</LinksUpToDate>
  <CharactersWithSpaces>3518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Lan</cp:lastModifiedBy>
  <dcterms:modified xsi:type="dcterms:W3CDTF">2025-01-19T10:36:19Z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1BF32B36632A49D597138E946E97AD2F_13</vt:lpwstr>
  </property>
  <property fmtid="{D5CDD505-2E9C-101B-9397-08002B2CF9AE}" pid="4" name="KSOTemplateDocerSaveRecord">
    <vt:lpwstr>eyJoZGlkIjoiNWMyNjllMmU0YTcwZjNhMTY0NmE1Zjk3MGY5NmI4MWYiLCJ1c2VySWQiOiI0NTg0NDMyNzUifQ==</vt:lpwstr>
  </property>
</Properties>
</file>