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76CD7">
      <w:pPr>
        <w:jc w:val="center"/>
        <w:rPr>
          <w:rFonts w:hint="eastAsia" w:ascii="黑体" w:hAnsi="黑体" w:eastAsia="黑体"/>
          <w:sz w:val="44"/>
          <w:szCs w:val="44"/>
          <w:highlight w:val="none"/>
          <w:lang w:val="en-US" w:eastAsia="zh-CN"/>
        </w:rPr>
      </w:pPr>
    </w:p>
    <w:p w14:paraId="36F3D093">
      <w:pPr>
        <w:jc w:val="center"/>
        <w:rPr>
          <w:rFonts w:hint="eastAsia" w:ascii="黑体" w:hAnsi="黑体" w:eastAsia="黑体"/>
          <w:sz w:val="44"/>
          <w:szCs w:val="44"/>
          <w:highlight w:val="none"/>
          <w:lang w:val="en-US" w:eastAsia="zh-CN"/>
        </w:rPr>
      </w:pPr>
    </w:p>
    <w:p w14:paraId="5E5A6224">
      <w:pPr>
        <w:jc w:val="center"/>
        <w:rPr>
          <w:rFonts w:hint="eastAsia" w:ascii="黑体" w:hAnsi="黑体" w:eastAsia="黑体"/>
          <w:sz w:val="44"/>
          <w:szCs w:val="44"/>
          <w:highlight w:val="none"/>
          <w:lang w:val="en-US" w:eastAsia="zh-CN"/>
        </w:rPr>
      </w:pPr>
    </w:p>
    <w:p w14:paraId="5A5FCD81">
      <w:pPr>
        <w:jc w:val="center"/>
        <w:rPr>
          <w:rFonts w:hint="eastAsia" w:ascii="黑体" w:hAnsi="黑体" w:eastAsia="黑体"/>
          <w:sz w:val="44"/>
          <w:szCs w:val="44"/>
          <w:highlight w:val="none"/>
          <w:lang w:val="en-US" w:eastAsia="zh-CN"/>
        </w:rPr>
      </w:pPr>
      <w:bookmarkStart w:id="0" w:name="_GoBack"/>
      <w:bookmarkEnd w:id="0"/>
    </w:p>
    <w:p w14:paraId="27453460">
      <w:pPr>
        <w:jc w:val="center"/>
        <w:rPr>
          <w:rFonts w:hint="eastAsia" w:ascii="黑体" w:hAnsi="黑体" w:eastAsia="黑体"/>
          <w:sz w:val="44"/>
          <w:szCs w:val="44"/>
          <w:highlight w:val="none"/>
          <w:lang w:val="en-US" w:eastAsia="zh-CN"/>
        </w:rPr>
      </w:pPr>
    </w:p>
    <w:p w14:paraId="21F55420">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蛟河市供热管理中心</w:t>
      </w:r>
    </w:p>
    <w:p w14:paraId="40BDC573">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052A566B">
      <w:pPr>
        <w:jc w:val="center"/>
        <w:rPr>
          <w:rFonts w:hint="eastAsia" w:ascii="黑体" w:hAnsi="黑体" w:eastAsia="黑体"/>
          <w:sz w:val="44"/>
          <w:szCs w:val="44"/>
          <w:highlight w:val="none"/>
        </w:rPr>
      </w:pPr>
    </w:p>
    <w:p w14:paraId="7F85A85F">
      <w:pPr>
        <w:jc w:val="center"/>
        <w:rPr>
          <w:rFonts w:hint="eastAsia" w:ascii="黑体" w:hAnsi="黑体" w:eastAsia="黑体"/>
          <w:sz w:val="44"/>
          <w:szCs w:val="44"/>
          <w:highlight w:val="none"/>
        </w:rPr>
      </w:pPr>
    </w:p>
    <w:p w14:paraId="740A3159">
      <w:pPr>
        <w:jc w:val="center"/>
        <w:rPr>
          <w:rFonts w:hint="eastAsia" w:ascii="黑体" w:hAnsi="黑体" w:eastAsia="黑体"/>
          <w:sz w:val="44"/>
          <w:szCs w:val="44"/>
          <w:highlight w:val="none"/>
        </w:rPr>
      </w:pPr>
    </w:p>
    <w:p w14:paraId="61F62201">
      <w:pPr>
        <w:jc w:val="center"/>
        <w:rPr>
          <w:rFonts w:hint="eastAsia" w:ascii="黑体" w:hAnsi="黑体" w:eastAsia="黑体"/>
          <w:sz w:val="44"/>
          <w:szCs w:val="44"/>
          <w:highlight w:val="none"/>
        </w:rPr>
      </w:pPr>
    </w:p>
    <w:p w14:paraId="68B9D625">
      <w:pPr>
        <w:jc w:val="center"/>
        <w:rPr>
          <w:rFonts w:hint="eastAsia" w:ascii="黑体" w:hAnsi="黑体" w:eastAsia="黑体"/>
          <w:sz w:val="44"/>
          <w:szCs w:val="44"/>
          <w:highlight w:val="none"/>
        </w:rPr>
      </w:pPr>
    </w:p>
    <w:p w14:paraId="526F102D">
      <w:pPr>
        <w:jc w:val="center"/>
        <w:rPr>
          <w:rFonts w:hint="eastAsia" w:ascii="黑体" w:hAnsi="黑体" w:eastAsia="黑体"/>
          <w:sz w:val="44"/>
          <w:szCs w:val="44"/>
          <w:highlight w:val="none"/>
        </w:rPr>
      </w:pPr>
    </w:p>
    <w:p w14:paraId="137A09B0">
      <w:pPr>
        <w:jc w:val="center"/>
        <w:rPr>
          <w:rFonts w:hint="eastAsia" w:ascii="黑体" w:hAnsi="黑体" w:eastAsia="黑体"/>
          <w:sz w:val="44"/>
          <w:szCs w:val="44"/>
          <w:highlight w:val="none"/>
        </w:rPr>
      </w:pPr>
    </w:p>
    <w:p w14:paraId="3098DCB4">
      <w:pPr>
        <w:jc w:val="center"/>
        <w:rPr>
          <w:rFonts w:hint="eastAsia" w:ascii="黑体" w:hAnsi="黑体" w:eastAsia="黑体"/>
          <w:sz w:val="44"/>
          <w:szCs w:val="44"/>
          <w:highlight w:val="none"/>
        </w:rPr>
      </w:pPr>
    </w:p>
    <w:p w14:paraId="426DC81D">
      <w:pPr>
        <w:jc w:val="center"/>
        <w:rPr>
          <w:rFonts w:hint="eastAsia" w:ascii="黑体" w:hAnsi="黑体" w:eastAsia="黑体"/>
          <w:sz w:val="44"/>
          <w:szCs w:val="44"/>
          <w:highlight w:val="none"/>
        </w:rPr>
      </w:pPr>
    </w:p>
    <w:p w14:paraId="4EF8DCB6">
      <w:pPr>
        <w:jc w:val="center"/>
        <w:rPr>
          <w:rFonts w:hint="eastAsia" w:ascii="黑体" w:hAnsi="黑体" w:eastAsia="黑体"/>
          <w:sz w:val="44"/>
          <w:szCs w:val="44"/>
          <w:highlight w:val="none"/>
        </w:rPr>
      </w:pPr>
    </w:p>
    <w:p w14:paraId="217E28D5">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779DF64A">
      <w:pPr>
        <w:jc w:val="center"/>
        <w:rPr>
          <w:rFonts w:hint="eastAsia" w:ascii="黑体" w:hAnsi="黑体" w:eastAsia="黑体"/>
          <w:sz w:val="44"/>
          <w:szCs w:val="44"/>
          <w:highlight w:val="none"/>
        </w:rPr>
      </w:pPr>
    </w:p>
    <w:p w14:paraId="1FC514E4">
      <w:pPr>
        <w:jc w:val="center"/>
        <w:rPr>
          <w:rFonts w:hint="eastAsia" w:ascii="黑体" w:hAnsi="黑体" w:eastAsia="黑体"/>
          <w:sz w:val="44"/>
          <w:szCs w:val="44"/>
          <w:highlight w:val="none"/>
        </w:rPr>
      </w:pPr>
    </w:p>
    <w:p w14:paraId="5DF48259">
      <w:pPr>
        <w:jc w:val="center"/>
        <w:rPr>
          <w:rFonts w:hint="eastAsia" w:ascii="黑体" w:hAnsi="黑体" w:eastAsia="黑体"/>
          <w:sz w:val="44"/>
          <w:szCs w:val="44"/>
          <w:highlight w:val="none"/>
        </w:rPr>
      </w:pPr>
    </w:p>
    <w:p w14:paraId="6CEE46A2">
      <w:pPr>
        <w:jc w:val="center"/>
        <w:rPr>
          <w:rFonts w:hint="eastAsia" w:ascii="黑体" w:hAnsi="黑体" w:eastAsia="黑体"/>
          <w:sz w:val="44"/>
          <w:szCs w:val="44"/>
          <w:highlight w:val="none"/>
        </w:rPr>
      </w:pPr>
    </w:p>
    <w:p w14:paraId="02807E8F">
      <w:pPr>
        <w:jc w:val="center"/>
        <w:rPr>
          <w:rFonts w:hint="eastAsia" w:ascii="黑体" w:hAnsi="黑体" w:eastAsia="黑体"/>
          <w:sz w:val="44"/>
          <w:szCs w:val="44"/>
          <w:highlight w:val="none"/>
        </w:rPr>
      </w:pPr>
    </w:p>
    <w:p w14:paraId="20482237">
      <w:pPr>
        <w:jc w:val="center"/>
        <w:rPr>
          <w:rFonts w:hint="eastAsia" w:ascii="黑体" w:hAnsi="黑体" w:eastAsia="黑体"/>
          <w:sz w:val="44"/>
          <w:szCs w:val="44"/>
          <w:highlight w:val="none"/>
        </w:rPr>
      </w:pPr>
    </w:p>
    <w:p w14:paraId="26D5B691">
      <w:pPr>
        <w:jc w:val="center"/>
        <w:rPr>
          <w:rFonts w:ascii="黑体" w:hAnsi="黑体" w:eastAsia="黑体"/>
          <w:sz w:val="44"/>
          <w:szCs w:val="44"/>
          <w:highlight w:val="none"/>
        </w:rPr>
      </w:pPr>
      <w:r>
        <w:rPr>
          <w:rFonts w:hint="eastAsia" w:ascii="黑体" w:hAnsi="黑体" w:eastAsia="黑体"/>
          <w:sz w:val="44"/>
          <w:szCs w:val="44"/>
        </w:rPr>
        <w:t>蛟河市供热管理中心</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385979D0">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78CAFC5A">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351966F2">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7D2FB8AC">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100D682">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7770A4F0">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32676E53">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CCE70A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920914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402078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931271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07064F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32B77B8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D5037F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82EB2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2E2EB1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20306A9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941C35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02C418A0">
      <w:pPr>
        <w:rPr>
          <w:rFonts w:ascii="仿宋" w:hAnsi="仿宋" w:eastAsia="仿宋"/>
          <w:sz w:val="32"/>
          <w:szCs w:val="32"/>
          <w:highlight w:val="none"/>
        </w:rPr>
      </w:pPr>
    </w:p>
    <w:p w14:paraId="005D9D8D">
      <w:pPr>
        <w:rPr>
          <w:rFonts w:ascii="仿宋" w:hAnsi="仿宋" w:eastAsia="仿宋"/>
          <w:sz w:val="32"/>
          <w:szCs w:val="32"/>
          <w:highlight w:val="none"/>
        </w:rPr>
      </w:pPr>
    </w:p>
    <w:p w14:paraId="4AC0994D">
      <w:pPr>
        <w:rPr>
          <w:rFonts w:ascii="仿宋" w:hAnsi="仿宋" w:eastAsia="仿宋"/>
          <w:sz w:val="32"/>
          <w:szCs w:val="32"/>
          <w:highlight w:val="none"/>
        </w:rPr>
      </w:pPr>
    </w:p>
    <w:p w14:paraId="11A48AAA">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0A3B88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F4A77C5">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06E65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蛟河市供热管理中心</w:t>
      </w:r>
    </w:p>
    <w:p w14:paraId="1EA59F2A">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rPr>
        <w:t>2014年</w:t>
      </w:r>
    </w:p>
    <w:p w14:paraId="2428A670">
      <w:pPr>
        <w:pStyle w:val="10"/>
        <w:widowControl/>
        <w:spacing w:line="620" w:lineRule="exact"/>
        <w:ind w:firstLine="640" w:firstLineChars="200"/>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供热管理中心是为适应社会公益服务事业发展的需要设立，为隶属于蛟河市住房和城乡建设局的公益一类事业单位。根据中央和省关于公益一类事业单位改革的要求，强化公益属性，进一步理顺体制，完善机制，健全制度，不断提高公益服务水平和效益。</w:t>
      </w:r>
    </w:p>
    <w:p w14:paraId="2EAD547D">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2B050DBE">
      <w:pPr>
        <w:pStyle w:val="10"/>
        <w:widowControl/>
        <w:numPr>
          <w:ilvl w:val="0"/>
          <w:numId w:val="3"/>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供热职责</w:t>
      </w:r>
    </w:p>
    <w:p w14:paraId="63AC25C8">
      <w:pPr>
        <w:pStyle w:val="10"/>
        <w:widowControl/>
        <w:numPr>
          <w:ilvl w:val="0"/>
          <w:numId w:val="4"/>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贯彻执行国家、省和市关于城市供热的方针、政策和法律、法规，结合我县实际，研究拟定具体办法和行政规章并组织实施。</w:t>
      </w:r>
    </w:p>
    <w:p w14:paraId="3B4409FB">
      <w:pPr>
        <w:pStyle w:val="10"/>
        <w:widowControl/>
        <w:numPr>
          <w:ilvl w:val="0"/>
          <w:numId w:val="4"/>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会同有关部门编制城市供热中、长期发展规划和年度建设计划；根据城市总体规划，合理布局和科学调整供热企业；会同有关部门组织供热工程初步设计审查、施工质量监督和竣工验收工作。</w:t>
      </w:r>
    </w:p>
    <w:p w14:paraId="7DAE935B">
      <w:pPr>
        <w:pStyle w:val="10"/>
        <w:widowControl/>
        <w:numPr>
          <w:ilvl w:val="0"/>
          <w:numId w:val="4"/>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负责全市供热行业和供热市场管理；审查供热单位和企业的资质，实行严格的企业准入和退出制度。会同有关部门核定和测算供热成本、价格调整及热源建设费等标准。</w:t>
      </w:r>
    </w:p>
    <w:p w14:paraId="4553C73D">
      <w:pPr>
        <w:pStyle w:val="10"/>
        <w:widowControl/>
        <w:numPr>
          <w:ilvl w:val="0"/>
          <w:numId w:val="4"/>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协调组织供热企业正常运行，确保供热质量；对供热企业热源及管网、设备运行、设备改造和安全生产进行监督；协助供热企业解决技术问题，对供热企业运行中存在的问题提出整改建议，并监督执行；对煤炭质量和储备情况及消耗情况实施监督。</w:t>
      </w:r>
    </w:p>
    <w:p w14:paraId="6E834F6D">
      <w:pPr>
        <w:pStyle w:val="10"/>
        <w:widowControl/>
        <w:numPr>
          <w:ilvl w:val="0"/>
          <w:numId w:val="4"/>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负责供热新技术、新工艺、新材料、新设备的应用和推广。</w:t>
      </w:r>
    </w:p>
    <w:p w14:paraId="47E8C962">
      <w:pPr>
        <w:pStyle w:val="10"/>
        <w:widowControl/>
        <w:numPr>
          <w:ilvl w:val="0"/>
          <w:numId w:val="4"/>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调解和处理全市供热纠纷，确保正常供热秩序。</w:t>
      </w:r>
    </w:p>
    <w:p w14:paraId="480CBE14">
      <w:pPr>
        <w:pStyle w:val="10"/>
        <w:widowControl/>
        <w:numPr>
          <w:ilvl w:val="0"/>
          <w:numId w:val="4"/>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完成市委、市政府交办的其他工作任务。</w:t>
      </w:r>
    </w:p>
    <w:p w14:paraId="17D105EF">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燃气职责</w:t>
      </w:r>
    </w:p>
    <w:p w14:paraId="245EC3FA">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贯彻执行国家、省、市燃气管理的有关法律、法规、行业标准和行业政策。</w:t>
      </w:r>
    </w:p>
    <w:p w14:paraId="1F011E02">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根据城市发展总体规划和社会发展需要，拟定本县燃气专业规划，报政府批准后组织实施。</w:t>
      </w:r>
    </w:p>
    <w:p w14:paraId="44EE722A">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建立健全燃气安全监督管理制度，宣传普通法、法规和安全知识，提高全民燃气安全意识。</w:t>
      </w:r>
    </w:p>
    <w:p w14:paraId="1D984DB1">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负责燃气企业资质申报初审、按规定对燃气企业分支机构进行资质审查，发放经营许可证。</w:t>
      </w:r>
    </w:p>
    <w:p w14:paraId="314A7DC2">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负责燃气行业服务质量和安全管理的检查、监督工作，对新建、改建、扩建等燃气工程参与立项审批，设计审查，监督检查，竣工验收工作。</w:t>
      </w:r>
    </w:p>
    <w:p w14:paraId="46A6F62D">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配合有关部门加强对燃气气质、燃气器具检验、检测、监督管理。</w:t>
      </w:r>
    </w:p>
    <w:p w14:paraId="5D54D7D7">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对燃气市场实施监管、规范经营行为，对违法、违章行为进行纠正，依法实施行政处罚。</w:t>
      </w:r>
    </w:p>
    <w:p w14:paraId="4383F330">
      <w:pPr>
        <w:pStyle w:val="10"/>
        <w:widowControl/>
        <w:numPr>
          <w:ilvl w:val="0"/>
          <w:numId w:val="5"/>
        </w:numPr>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 xml:space="preserve"> 受理燃气行业的来信、来访及投诉、举报。</w:t>
      </w:r>
    </w:p>
    <w:p w14:paraId="2DA93A0F">
      <w:pPr>
        <w:pStyle w:val="10"/>
        <w:widowControl/>
        <w:numPr>
          <w:ilvl w:val="0"/>
          <w:numId w:val="5"/>
        </w:numPr>
        <w:spacing w:line="620" w:lineRule="exact"/>
        <w:ind w:firstLine="640" w:firstLineChars="200"/>
        <w:contextualSpacing/>
        <w:rPr>
          <w:rFonts w:ascii="仿宋" w:hAnsi="仿宋" w:eastAsia="仿宋"/>
          <w:bCs/>
          <w:kern w:val="0"/>
          <w:sz w:val="32"/>
          <w:szCs w:val="32"/>
          <w:highlight w:val="none"/>
        </w:rPr>
      </w:pPr>
      <w:r>
        <w:rPr>
          <w:rFonts w:hint="eastAsia" w:ascii="仿宋" w:hAnsi="仿宋" w:eastAsia="仿宋"/>
          <w:bCs/>
          <w:kern w:val="0"/>
          <w:sz w:val="32"/>
          <w:szCs w:val="32"/>
        </w:rPr>
        <w:t xml:space="preserve"> 完成局领导及上级业务部门交办的其他工作任务。</w:t>
      </w:r>
    </w:p>
    <w:p w14:paraId="63991421">
      <w:pPr>
        <w:pStyle w:val="10"/>
        <w:widowControl/>
        <w:numPr>
          <w:ilvl w:val="0"/>
          <w:numId w:val="0"/>
        </w:numPr>
        <w:spacing w:line="620" w:lineRule="exact"/>
        <w:contextualSpacing/>
        <w:rPr>
          <w:rFonts w:ascii="仿宋" w:hAnsi="仿宋" w:eastAsia="仿宋"/>
          <w:bCs/>
          <w:kern w:val="0"/>
          <w:sz w:val="32"/>
          <w:szCs w:val="32"/>
          <w:highlight w:val="none"/>
        </w:rPr>
      </w:pPr>
    </w:p>
    <w:p w14:paraId="2F9A1F95">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2B26E515">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根据所承担的工作职责和编制总量，蛟河市</w:t>
      </w:r>
      <w:r>
        <w:rPr>
          <w:rFonts w:hint="eastAsia" w:ascii="仿宋" w:hAnsi="仿宋" w:eastAsia="仿宋"/>
          <w:kern w:val="0"/>
          <w:szCs w:val="32"/>
          <w:lang w:val="en-US" w:eastAsia="zh-CN"/>
        </w:rPr>
        <w:t>供热管理中心</w:t>
      </w:r>
      <w:r>
        <w:rPr>
          <w:rFonts w:hint="eastAsia" w:ascii="仿宋" w:hAnsi="仿宋" w:eastAsia="仿宋"/>
          <w:kern w:val="0"/>
          <w:szCs w:val="32"/>
        </w:rPr>
        <w:t>无内设机构；</w:t>
      </w:r>
    </w:p>
    <w:p w14:paraId="184925B3">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14:paraId="4F1CD8E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904FCAF">
      <w:pPr>
        <w:jc w:val="left"/>
        <w:rPr>
          <w:rFonts w:ascii="仿宋" w:hAnsi="仿宋" w:eastAsia="仿宋"/>
          <w:sz w:val="32"/>
          <w:szCs w:val="32"/>
          <w:highlight w:val="none"/>
        </w:rPr>
      </w:pPr>
    </w:p>
    <w:p w14:paraId="152D26FF">
      <w:pPr>
        <w:jc w:val="left"/>
        <w:rPr>
          <w:rFonts w:ascii="仿宋" w:hAnsi="仿宋" w:eastAsia="仿宋"/>
          <w:sz w:val="32"/>
          <w:szCs w:val="32"/>
          <w:highlight w:val="none"/>
        </w:rPr>
      </w:pPr>
    </w:p>
    <w:p w14:paraId="14082909">
      <w:pPr>
        <w:jc w:val="left"/>
        <w:rPr>
          <w:rFonts w:ascii="仿宋" w:hAnsi="仿宋" w:eastAsia="仿宋"/>
          <w:sz w:val="32"/>
          <w:szCs w:val="32"/>
          <w:highlight w:val="none"/>
        </w:rPr>
      </w:pPr>
    </w:p>
    <w:p w14:paraId="51F435BD">
      <w:pPr>
        <w:jc w:val="left"/>
        <w:rPr>
          <w:rFonts w:ascii="仿宋" w:hAnsi="仿宋" w:eastAsia="仿宋"/>
          <w:sz w:val="32"/>
          <w:szCs w:val="32"/>
          <w:highlight w:val="none"/>
        </w:rPr>
      </w:pPr>
    </w:p>
    <w:p w14:paraId="1B71EF55">
      <w:pPr>
        <w:jc w:val="left"/>
        <w:rPr>
          <w:rFonts w:ascii="仿宋" w:hAnsi="仿宋" w:eastAsia="仿宋"/>
          <w:sz w:val="32"/>
          <w:szCs w:val="32"/>
          <w:highlight w:val="none"/>
        </w:rPr>
      </w:pPr>
    </w:p>
    <w:p w14:paraId="5BD9F15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5C8CE4C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E3C54E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349E7D5">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23.53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34.12</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减少10.59</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单位调走1名在职人员</w:t>
      </w:r>
      <w:r>
        <w:rPr>
          <w:rFonts w:hint="eastAsia" w:ascii="仿宋" w:hAnsi="仿宋" w:eastAsia="仿宋"/>
          <w:sz w:val="32"/>
          <w:szCs w:val="32"/>
          <w:highlight w:val="none"/>
          <w:lang w:eastAsia="zh-CN"/>
        </w:rPr>
        <w:t>。</w:t>
      </w:r>
    </w:p>
    <w:p w14:paraId="2D91743B">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3085304D">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23.53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23.53万元，占100%；上年结转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23.53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19E7128A">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3D1CC090">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23.53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23.53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6E9F38DD">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7160560">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23.53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23.53万元，上年结转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城乡社区支出18.17万元，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2.43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1.15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1.78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30FE9760">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0B5D00C5">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23.53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23.53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20.17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85.7</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3.36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14.3</w:t>
      </w:r>
      <w:r>
        <w:rPr>
          <w:rFonts w:hint="eastAsia" w:ascii="仿宋" w:hAnsi="仿宋" w:eastAsia="仿宋"/>
          <w:sz w:val="32"/>
          <w:szCs w:val="32"/>
          <w:highlight w:val="none"/>
        </w:rPr>
        <w:t>%。</w:t>
      </w:r>
    </w:p>
    <w:p w14:paraId="2916D2E3">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18.17</w:t>
      </w:r>
      <w:r>
        <w:rPr>
          <w:rFonts w:hint="eastAsia" w:ascii="仿宋" w:hAnsi="仿宋" w:eastAsia="仿宋"/>
          <w:sz w:val="32"/>
          <w:szCs w:val="32"/>
        </w:rPr>
        <w:t>万元，占</w:t>
      </w:r>
      <w:r>
        <w:rPr>
          <w:rFonts w:hint="eastAsia" w:ascii="仿宋" w:hAnsi="仿宋" w:eastAsia="仿宋"/>
          <w:sz w:val="32"/>
          <w:szCs w:val="32"/>
          <w:lang w:val="en-US" w:eastAsia="zh-CN"/>
        </w:rPr>
        <w:t>77.2</w:t>
      </w:r>
      <w:r>
        <w:rPr>
          <w:rFonts w:hint="eastAsia" w:ascii="仿宋" w:hAnsi="仿宋" w:eastAsia="仿宋"/>
          <w:sz w:val="32"/>
          <w:szCs w:val="32"/>
        </w:rPr>
        <w:t>%，主要用于：人员工资、经费支出。</w:t>
      </w:r>
    </w:p>
    <w:p w14:paraId="4794871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社会保障和就业（类）支出2.43万元，占10.3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0F24C28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1.15万元，占5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2481ECAC">
      <w:pPr>
        <w:pStyle w:val="9"/>
        <w:ind w:firstLine="640" w:firstLineChars="200"/>
        <w:rPr>
          <w:rFonts w:hint="eastAsia" w:ascii="仿宋" w:hAnsi="仿宋" w:eastAsia="仿宋"/>
          <w:kern w:val="0"/>
          <w:sz w:val="32"/>
          <w:szCs w:val="32"/>
          <w:highlight w:val="none"/>
        </w:rPr>
      </w:pPr>
      <w:r>
        <w:rPr>
          <w:rFonts w:hint="eastAsia" w:ascii="仿宋" w:hAnsi="仿宋" w:eastAsia="仿宋"/>
          <w:sz w:val="32"/>
          <w:szCs w:val="32"/>
          <w:highlight w:val="none"/>
          <w:lang w:val="en-US" w:eastAsia="zh-CN"/>
        </w:rPr>
        <w:t>住房保障（类）支出1.78万元，占7.5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kern w:val="0"/>
          <w:sz w:val="32"/>
          <w:szCs w:val="32"/>
          <w:highlight w:val="none"/>
        </w:rPr>
        <w:t xml:space="preserve">   </w:t>
      </w:r>
    </w:p>
    <w:p w14:paraId="58ED5828">
      <w:pPr>
        <w:pStyle w:val="9"/>
        <w:ind w:firstLine="640" w:firstLineChars="200"/>
        <w:rPr>
          <w:rFonts w:hint="eastAsia" w:ascii="楷体" w:hAnsi="楷体" w:eastAsia="楷体"/>
          <w:kern w:val="0"/>
          <w:sz w:val="32"/>
          <w:szCs w:val="32"/>
          <w:highlight w:val="none"/>
          <w:lang w:val="en-US" w:eastAsia="zh-CN"/>
        </w:rPr>
      </w:pP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4D9A08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2025年一般公共预算基本支出23.53 万元，其中：</w:t>
      </w:r>
    </w:p>
    <w:p w14:paraId="5C218671">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20.17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59DA0B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3.36</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535F83D7">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657DE3B8">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03DCB141">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1A0476A7">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w:t>
      </w:r>
    </w:p>
    <w:p w14:paraId="7BBD260E">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 xml:space="preserve">。其中，公务用车运行维护费 </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w:t>
      </w:r>
    </w:p>
    <w:p w14:paraId="6DC3B61C">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547B8B6B">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278F6034">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7183F44A">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571FB837">
      <w:pPr>
        <w:numPr>
          <w:ilvl w:val="0"/>
          <w:numId w:val="6"/>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E8C2FB1">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85CA9CF">
      <w:pPr>
        <w:pStyle w:val="8"/>
        <w:numPr>
          <w:ilvl w:val="0"/>
          <w:numId w:val="0"/>
        </w:num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 xml:space="preserve">               </w:t>
      </w:r>
      <w:r>
        <w:rPr>
          <w:rFonts w:hint="eastAsia" w:ascii="楷体" w:hAnsi="楷体" w:eastAsia="楷体" w:cs="楷体"/>
          <w:kern w:val="2"/>
          <w:sz w:val="32"/>
          <w:szCs w:val="32"/>
          <w:highlight w:val="none"/>
          <w:lang w:val="en-US" w:eastAsia="zh-CN" w:bidi="ar-SA"/>
        </w:rPr>
        <w:t>（二）委托业务费</w:t>
      </w:r>
    </w:p>
    <w:p w14:paraId="20B5CFAE">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p>
    <w:p w14:paraId="0EBC1BC0">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1F06FA6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0EC0B3D4">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71731CD2">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75A1B31B">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6197C02C">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463DB58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236F1E33">
      <w:pPr>
        <w:jc w:val="center"/>
        <w:rPr>
          <w:rFonts w:ascii="仿宋" w:hAnsi="仿宋" w:eastAsia="仿宋"/>
          <w:sz w:val="32"/>
          <w:szCs w:val="32"/>
          <w:highlight w:val="none"/>
        </w:rPr>
      </w:pPr>
    </w:p>
    <w:p w14:paraId="748B859A">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22AC9D51">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603E60A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634FAA5F">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1D4E716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F217B8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53E14C5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AEA4EE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4DCE3B6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3203789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86D723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934148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5538FF6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705FA555">
      <w:pPr>
        <w:ind w:firstLine="640" w:firstLineChars="200"/>
        <w:rPr>
          <w:rFonts w:ascii="仿宋_GB2312" w:eastAsia="仿宋_GB2312"/>
          <w:sz w:val="32"/>
          <w:szCs w:val="32"/>
          <w:highlight w:val="none"/>
        </w:rPr>
      </w:pPr>
    </w:p>
    <w:p w14:paraId="1478BCA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9C6127A">
      <w:pPr>
        <w:jc w:val="left"/>
        <w:rPr>
          <w:rFonts w:ascii="仿宋" w:hAnsi="仿宋" w:eastAsia="仿宋"/>
          <w:sz w:val="32"/>
          <w:szCs w:val="32"/>
          <w:highlight w:val="none"/>
        </w:rPr>
      </w:pPr>
    </w:p>
    <w:p w14:paraId="564EAB95">
      <w:pPr>
        <w:jc w:val="left"/>
        <w:rPr>
          <w:rFonts w:ascii="仿宋" w:hAnsi="仿宋" w:eastAsia="仿宋"/>
          <w:sz w:val="32"/>
          <w:szCs w:val="32"/>
          <w:highlight w:val="none"/>
        </w:rPr>
      </w:pPr>
    </w:p>
    <w:p w14:paraId="6C5B3BD6">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EE05C21">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531D0D19">
      <w:pPr>
        <w:rPr>
          <w:rFonts w:ascii="仿宋" w:hAnsi="仿宋" w:eastAsia="仿宋"/>
          <w:sz w:val="32"/>
          <w:szCs w:val="32"/>
          <w:highlight w:val="none"/>
        </w:rPr>
      </w:pPr>
    </w:p>
    <w:p w14:paraId="5F857765">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29D17C"/>
    <w:multiLevelType w:val="singleLevel"/>
    <w:tmpl w:val="D929D17C"/>
    <w:lvl w:ilvl="0" w:tentative="0">
      <w:start w:val="1"/>
      <w:numFmt w:val="decimal"/>
      <w:lvlText w:val="%1."/>
      <w:lvlJc w:val="left"/>
      <w:pPr>
        <w:tabs>
          <w:tab w:val="left" w:pos="312"/>
        </w:tabs>
      </w:pPr>
    </w:lvl>
  </w:abstractNum>
  <w:abstractNum w:abstractNumId="1">
    <w:nsid w:val="04EDD791"/>
    <w:multiLevelType w:val="singleLevel"/>
    <w:tmpl w:val="04EDD791"/>
    <w:lvl w:ilvl="0" w:tentative="0">
      <w:start w:val="1"/>
      <w:numFmt w:val="chineseCounting"/>
      <w:suff w:val="nothing"/>
      <w:lvlText w:val="（%1）"/>
      <w:lvlJc w:val="left"/>
      <w:rPr>
        <w:rFonts w:hint="eastAsia"/>
      </w:rPr>
    </w:lvl>
  </w:abstractNum>
  <w:abstractNum w:abstractNumId="2">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3">
    <w:nsid w:val="3466D0E7"/>
    <w:multiLevelType w:val="singleLevel"/>
    <w:tmpl w:val="3466D0E7"/>
    <w:lvl w:ilvl="0" w:tentative="0">
      <w:start w:val="1"/>
      <w:numFmt w:val="decimal"/>
      <w:suff w:val="space"/>
      <w:lvlText w:val="%1."/>
      <w:lvlJc w:val="left"/>
    </w:lvl>
  </w:abstractNum>
  <w:abstractNum w:abstractNumId="4">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5">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C904675"/>
    <w:rsid w:val="0D0F40E1"/>
    <w:rsid w:val="0E0E4A27"/>
    <w:rsid w:val="0E235FAD"/>
    <w:rsid w:val="0E933B6E"/>
    <w:rsid w:val="0F4C4086"/>
    <w:rsid w:val="10D9450A"/>
    <w:rsid w:val="112B3A0C"/>
    <w:rsid w:val="117169F8"/>
    <w:rsid w:val="11DF6BD5"/>
    <w:rsid w:val="12C62CA4"/>
    <w:rsid w:val="15DA5399"/>
    <w:rsid w:val="16B67CD2"/>
    <w:rsid w:val="187E3884"/>
    <w:rsid w:val="18F97B94"/>
    <w:rsid w:val="191A0446"/>
    <w:rsid w:val="1B4A363A"/>
    <w:rsid w:val="1BC526EF"/>
    <w:rsid w:val="1C882350"/>
    <w:rsid w:val="1CDC1A5B"/>
    <w:rsid w:val="1E78177F"/>
    <w:rsid w:val="1F451F7A"/>
    <w:rsid w:val="20EF71F1"/>
    <w:rsid w:val="2323212D"/>
    <w:rsid w:val="23FA4ECF"/>
    <w:rsid w:val="24D30950"/>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973F34"/>
    <w:rsid w:val="34A905DD"/>
    <w:rsid w:val="36273D08"/>
    <w:rsid w:val="37361A0B"/>
    <w:rsid w:val="38253B59"/>
    <w:rsid w:val="385B501F"/>
    <w:rsid w:val="38DE30B8"/>
    <w:rsid w:val="39284901"/>
    <w:rsid w:val="3A482539"/>
    <w:rsid w:val="3A915046"/>
    <w:rsid w:val="3C4C15D1"/>
    <w:rsid w:val="3CEA5A8A"/>
    <w:rsid w:val="3D897F97"/>
    <w:rsid w:val="3D9121FF"/>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3478</Words>
  <Characters>3723</Characters>
  <Lines>19</Lines>
  <Paragraphs>5</Paragraphs>
  <TotalTime>13</TotalTime>
  <ScaleCrop>false</ScaleCrop>
  <LinksUpToDate>false</LinksUpToDate>
  <CharactersWithSpaces>3864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2025-01-19T10:37:48Z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59BCF82A95624BD39E32597098DBC93A_13</vt:lpwstr>
  </property>
  <property fmtid="{D5CDD505-2E9C-101B-9397-08002B2CF9AE}" pid="4" name="KSOTemplateDocerSaveRecord">
    <vt:lpwstr>eyJoZGlkIjoiNWMyNjllMmU0YTcwZjNhMTY0NmE1Zjk3MGY5NmI4MWYiLCJ1c2VySWQiOiI0NTg0NDMyNzUifQ==</vt:lpwstr>
  </property>
</Properties>
</file>