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B57DC">
      <w:pPr>
        <w:jc w:val="center"/>
        <w:rPr>
          <w:rFonts w:hint="eastAsia" w:ascii="黑体" w:hAnsi="黑体" w:eastAsia="黑体"/>
          <w:sz w:val="44"/>
          <w:szCs w:val="44"/>
          <w:highlight w:val="none"/>
          <w:lang w:val="en-US" w:eastAsia="zh-CN"/>
        </w:rPr>
      </w:pPr>
    </w:p>
    <w:p w14:paraId="3E773135">
      <w:pPr>
        <w:jc w:val="center"/>
        <w:rPr>
          <w:rFonts w:hint="eastAsia" w:ascii="黑体" w:hAnsi="黑体" w:eastAsia="黑体"/>
          <w:sz w:val="44"/>
          <w:szCs w:val="44"/>
          <w:highlight w:val="none"/>
          <w:lang w:val="en-US" w:eastAsia="zh-CN"/>
        </w:rPr>
      </w:pPr>
    </w:p>
    <w:p w14:paraId="2B296D44">
      <w:pPr>
        <w:jc w:val="center"/>
        <w:rPr>
          <w:rFonts w:hint="eastAsia" w:ascii="黑体" w:hAnsi="黑体" w:eastAsia="黑体"/>
          <w:sz w:val="44"/>
          <w:szCs w:val="44"/>
          <w:highlight w:val="none"/>
          <w:lang w:val="en-US" w:eastAsia="zh-CN"/>
        </w:rPr>
      </w:pPr>
    </w:p>
    <w:p w14:paraId="79F6703F">
      <w:pPr>
        <w:jc w:val="center"/>
        <w:rPr>
          <w:rFonts w:hint="eastAsia" w:ascii="黑体" w:hAnsi="黑体" w:eastAsia="黑体"/>
          <w:sz w:val="44"/>
          <w:szCs w:val="44"/>
          <w:highlight w:val="none"/>
          <w:lang w:val="en-US" w:eastAsia="zh-CN"/>
        </w:rPr>
      </w:pPr>
    </w:p>
    <w:p w14:paraId="0D56F83C">
      <w:pPr>
        <w:jc w:val="center"/>
        <w:rPr>
          <w:rFonts w:hint="eastAsia" w:ascii="黑体" w:hAnsi="黑体" w:eastAsia="黑体"/>
          <w:sz w:val="44"/>
          <w:szCs w:val="44"/>
          <w:highlight w:val="none"/>
          <w:lang w:val="en-US" w:eastAsia="zh-CN"/>
        </w:rPr>
      </w:pPr>
    </w:p>
    <w:p w14:paraId="215D2544">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 xml:space="preserve">   蛟河市住房和城乡建设局</w:t>
      </w:r>
    </w:p>
    <w:p w14:paraId="309F46C0">
      <w:pPr>
        <w:jc w:val="center"/>
        <w:rPr>
          <w:rFonts w:hint="default" w:ascii="黑体" w:hAnsi="黑体" w:eastAsia="黑体"/>
          <w:sz w:val="52"/>
          <w:szCs w:val="52"/>
          <w:highlight w:val="none"/>
          <w:lang w:val="en-US" w:eastAsia="zh-CN"/>
        </w:rPr>
      </w:pPr>
      <w:bookmarkStart w:id="0" w:name="_GoBack"/>
      <w:bookmarkEnd w:id="0"/>
      <w:r>
        <w:rPr>
          <w:rFonts w:hint="eastAsia" w:ascii="黑体" w:hAnsi="黑体" w:eastAsia="黑体"/>
          <w:sz w:val="52"/>
          <w:szCs w:val="52"/>
          <w:highlight w:val="none"/>
          <w:lang w:val="en-US" w:eastAsia="zh-CN"/>
        </w:rPr>
        <w:t>2025年部门预算</w:t>
      </w:r>
    </w:p>
    <w:p w14:paraId="34DBC73A">
      <w:pPr>
        <w:jc w:val="center"/>
        <w:rPr>
          <w:rFonts w:hint="eastAsia" w:ascii="黑体" w:hAnsi="黑体" w:eastAsia="黑体"/>
          <w:sz w:val="44"/>
          <w:szCs w:val="44"/>
          <w:highlight w:val="none"/>
        </w:rPr>
      </w:pPr>
    </w:p>
    <w:p w14:paraId="05CFFEED">
      <w:pPr>
        <w:jc w:val="center"/>
        <w:rPr>
          <w:rFonts w:hint="eastAsia" w:ascii="黑体" w:hAnsi="黑体" w:eastAsia="黑体"/>
          <w:sz w:val="44"/>
          <w:szCs w:val="44"/>
          <w:highlight w:val="none"/>
        </w:rPr>
      </w:pPr>
    </w:p>
    <w:p w14:paraId="0775C959">
      <w:pPr>
        <w:jc w:val="center"/>
        <w:rPr>
          <w:rFonts w:hint="eastAsia" w:ascii="黑体" w:hAnsi="黑体" w:eastAsia="黑体"/>
          <w:sz w:val="44"/>
          <w:szCs w:val="44"/>
          <w:highlight w:val="none"/>
        </w:rPr>
      </w:pPr>
    </w:p>
    <w:p w14:paraId="756ECEC9">
      <w:pPr>
        <w:jc w:val="center"/>
        <w:rPr>
          <w:rFonts w:hint="eastAsia" w:ascii="黑体" w:hAnsi="黑体" w:eastAsia="黑体"/>
          <w:sz w:val="44"/>
          <w:szCs w:val="44"/>
          <w:highlight w:val="none"/>
        </w:rPr>
      </w:pPr>
    </w:p>
    <w:p w14:paraId="128BB8F5">
      <w:pPr>
        <w:jc w:val="center"/>
        <w:rPr>
          <w:rFonts w:hint="eastAsia" w:ascii="黑体" w:hAnsi="黑体" w:eastAsia="黑体"/>
          <w:sz w:val="44"/>
          <w:szCs w:val="44"/>
          <w:highlight w:val="none"/>
        </w:rPr>
      </w:pPr>
    </w:p>
    <w:p w14:paraId="0EBAD586">
      <w:pPr>
        <w:jc w:val="center"/>
        <w:rPr>
          <w:rFonts w:hint="eastAsia" w:ascii="黑体" w:hAnsi="黑体" w:eastAsia="黑体"/>
          <w:sz w:val="44"/>
          <w:szCs w:val="44"/>
          <w:highlight w:val="none"/>
        </w:rPr>
      </w:pPr>
    </w:p>
    <w:p w14:paraId="297A8138">
      <w:pPr>
        <w:jc w:val="center"/>
        <w:rPr>
          <w:rFonts w:hint="eastAsia" w:ascii="黑体" w:hAnsi="黑体" w:eastAsia="黑体"/>
          <w:sz w:val="44"/>
          <w:szCs w:val="44"/>
          <w:highlight w:val="none"/>
        </w:rPr>
      </w:pPr>
    </w:p>
    <w:p w14:paraId="48FBF082">
      <w:pPr>
        <w:jc w:val="center"/>
        <w:rPr>
          <w:rFonts w:hint="eastAsia" w:ascii="黑体" w:hAnsi="黑体" w:eastAsia="黑体"/>
          <w:sz w:val="44"/>
          <w:szCs w:val="44"/>
          <w:highlight w:val="none"/>
        </w:rPr>
      </w:pPr>
    </w:p>
    <w:p w14:paraId="692797B4">
      <w:pPr>
        <w:jc w:val="center"/>
        <w:rPr>
          <w:rFonts w:hint="eastAsia" w:ascii="黑体" w:hAnsi="黑体" w:eastAsia="黑体"/>
          <w:sz w:val="44"/>
          <w:szCs w:val="44"/>
          <w:highlight w:val="none"/>
        </w:rPr>
      </w:pPr>
    </w:p>
    <w:p w14:paraId="754A226E">
      <w:pPr>
        <w:jc w:val="center"/>
        <w:rPr>
          <w:rFonts w:hint="eastAsia" w:ascii="黑体" w:hAnsi="黑体" w:eastAsia="黑体"/>
          <w:sz w:val="44"/>
          <w:szCs w:val="44"/>
          <w:highlight w:val="none"/>
        </w:rPr>
      </w:pPr>
    </w:p>
    <w:p w14:paraId="41D0C756">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二〇二五年一月二十五日</w:t>
      </w:r>
    </w:p>
    <w:p w14:paraId="3FE81142">
      <w:pPr>
        <w:jc w:val="center"/>
        <w:rPr>
          <w:rFonts w:hint="eastAsia" w:ascii="黑体" w:hAnsi="黑体" w:eastAsia="黑体"/>
          <w:sz w:val="44"/>
          <w:szCs w:val="44"/>
          <w:highlight w:val="none"/>
        </w:rPr>
      </w:pPr>
    </w:p>
    <w:p w14:paraId="7C49B999">
      <w:pPr>
        <w:jc w:val="center"/>
        <w:rPr>
          <w:rFonts w:hint="eastAsia" w:ascii="黑体" w:hAnsi="黑体" w:eastAsia="黑体"/>
          <w:sz w:val="44"/>
          <w:szCs w:val="44"/>
          <w:highlight w:val="none"/>
        </w:rPr>
      </w:pPr>
    </w:p>
    <w:p w14:paraId="4FD3732B">
      <w:pPr>
        <w:jc w:val="center"/>
        <w:rPr>
          <w:rFonts w:hint="eastAsia" w:ascii="黑体" w:hAnsi="黑体" w:eastAsia="黑体"/>
          <w:sz w:val="44"/>
          <w:szCs w:val="44"/>
          <w:highlight w:val="none"/>
        </w:rPr>
      </w:pPr>
    </w:p>
    <w:p w14:paraId="28532D1B">
      <w:pPr>
        <w:jc w:val="center"/>
        <w:rPr>
          <w:rFonts w:hint="eastAsia" w:ascii="黑体" w:hAnsi="黑体" w:eastAsia="黑体"/>
          <w:sz w:val="44"/>
          <w:szCs w:val="44"/>
          <w:highlight w:val="none"/>
        </w:rPr>
      </w:pPr>
    </w:p>
    <w:p w14:paraId="2874F75E">
      <w:pPr>
        <w:jc w:val="center"/>
        <w:rPr>
          <w:rFonts w:hint="eastAsia" w:ascii="黑体" w:hAnsi="黑体" w:eastAsia="黑体"/>
          <w:sz w:val="44"/>
          <w:szCs w:val="44"/>
          <w:highlight w:val="none"/>
        </w:rPr>
      </w:pPr>
    </w:p>
    <w:p w14:paraId="50F28B05">
      <w:pPr>
        <w:jc w:val="center"/>
        <w:rPr>
          <w:rFonts w:hint="eastAsia" w:ascii="黑体" w:hAnsi="黑体" w:eastAsia="黑体"/>
          <w:sz w:val="44"/>
          <w:szCs w:val="44"/>
          <w:highlight w:val="none"/>
        </w:rPr>
      </w:pPr>
    </w:p>
    <w:p w14:paraId="7DE23C2E">
      <w:pPr>
        <w:jc w:val="center"/>
        <w:rPr>
          <w:rFonts w:ascii="黑体" w:hAnsi="黑体" w:eastAsia="黑体"/>
          <w:sz w:val="44"/>
          <w:szCs w:val="44"/>
          <w:highlight w:val="none"/>
        </w:rPr>
      </w:pPr>
      <w:r>
        <w:rPr>
          <w:rFonts w:hint="eastAsia" w:ascii="黑体" w:hAnsi="黑体" w:eastAsia="黑体"/>
          <w:sz w:val="44"/>
          <w:szCs w:val="44"/>
        </w:rPr>
        <w:t>蛟河市住房和城乡建设局</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5753CC3E">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3EC6B350">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129AE200">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073034E3">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8F498F4">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15B265ED">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132BB64C">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DD8689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617F4C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DDAD88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F2E1A1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18CD7B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687CE1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1242E0E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5B6F635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1A92E27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3B3E7A5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28DAD57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78B2E610">
      <w:pPr>
        <w:rPr>
          <w:rFonts w:ascii="仿宋" w:hAnsi="仿宋" w:eastAsia="仿宋"/>
          <w:sz w:val="32"/>
          <w:szCs w:val="32"/>
          <w:highlight w:val="none"/>
        </w:rPr>
      </w:pPr>
    </w:p>
    <w:p w14:paraId="5E0BCC9D">
      <w:pPr>
        <w:rPr>
          <w:rFonts w:ascii="仿宋" w:hAnsi="仿宋" w:eastAsia="仿宋"/>
          <w:sz w:val="32"/>
          <w:szCs w:val="32"/>
          <w:highlight w:val="none"/>
        </w:rPr>
      </w:pPr>
    </w:p>
    <w:p w14:paraId="7A36FB08">
      <w:pPr>
        <w:rPr>
          <w:rFonts w:ascii="仿宋" w:hAnsi="仿宋" w:eastAsia="仿宋"/>
          <w:sz w:val="32"/>
          <w:szCs w:val="32"/>
          <w:highlight w:val="none"/>
        </w:rPr>
      </w:pPr>
    </w:p>
    <w:p w14:paraId="51EC416F">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6CEB02F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03F2B768">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0DA3DD1D">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rPr>
        <w:t>蛟河市住房和城乡建设局</w:t>
      </w:r>
    </w:p>
    <w:p w14:paraId="0597BD6A">
      <w:pPr>
        <w:pStyle w:val="10"/>
        <w:widowControl/>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lang w:val="en-US" w:eastAsia="zh-CN"/>
        </w:rPr>
        <w:t>1965</w:t>
      </w:r>
      <w:r>
        <w:rPr>
          <w:rFonts w:hint="eastAsia" w:ascii="仿宋" w:hAnsi="仿宋" w:eastAsia="仿宋"/>
          <w:bCs/>
          <w:kern w:val="0"/>
          <w:sz w:val="32"/>
          <w:szCs w:val="32"/>
        </w:rPr>
        <w:t>年</w:t>
      </w:r>
    </w:p>
    <w:p w14:paraId="0AB9A47A">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rPr>
        <w:t>蛟河市住房和城乡建设局是行政单位，下设8家事业单位。主要是管理和规范全市住房和城乡建设工作秩序</w:t>
      </w:r>
      <w:r>
        <w:rPr>
          <w:rFonts w:hint="eastAsia" w:ascii="仿宋" w:hAnsi="仿宋" w:eastAsia="仿宋"/>
          <w:kern w:val="0"/>
          <w:sz w:val="32"/>
          <w:szCs w:val="32"/>
          <w:lang w:eastAsia="zh-CN"/>
        </w:rPr>
        <w:t>。</w:t>
      </w:r>
    </w:p>
    <w:p w14:paraId="1D479F1E">
      <w:pPr>
        <w:pStyle w:val="10"/>
        <w:widowControl/>
        <w:numPr>
          <w:ilvl w:val="0"/>
          <w:numId w:val="0"/>
        </w:numPr>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p>
    <w:p w14:paraId="24A3B14F">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负责规范全市住房和城乡建设管理秩序工作。研究提出全市住房和城乡建设重大问题的政策建议；拟订全市住房和城乡建设事业的总体发展战略、产业政策、中长期规划和年度计划并组织实施。</w:t>
      </w:r>
    </w:p>
    <w:p w14:paraId="06EA0821">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负责城乡建设方面的城建档案、房屋产权交易、房屋征收、供热、燃气、建筑工程质量监督、住房保障、物业管理等行政审批和管理工作。</w:t>
      </w:r>
    </w:p>
    <w:p w14:paraId="3C96BF49">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宣传贯彻和监督执行国家关于人民防空的方针、政策和法规，负责全市人民防空管理工作。</w:t>
      </w:r>
    </w:p>
    <w:p w14:paraId="24CAD2D6">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规范房地产市场秩序，监督管理房地产市场工作。拟订房地产建设规划、计划、产业政策和发展战略；会同或配合有关部门组织落实房地产市场监督政策，拟订房地产行业发展规划和产业政策；负责房屋建筑工程的综合验收工作；负责全市房屋交易和产权管理；制定全市物业管理发展规划，指导、监督、协调全市物业管理工作；监督、管理全市国有土地上房屋征收安置工作。</w:t>
      </w:r>
    </w:p>
    <w:p w14:paraId="21EAA91F">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负责指导村镇建设工作，贯彻落实省和吉林市村庄和小城镇建设政策并指导实施；指导农村住房建设和危房改造；组织实施乡镇污水设施建设工程。</w:t>
      </w:r>
    </w:p>
    <w:p w14:paraId="4F60BB74">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负责推进住房制度改革工作，落实省和吉林市住房制度改革和保障性住房建设管理相关政策并组织实施。</w:t>
      </w:r>
    </w:p>
    <w:p w14:paraId="2EB0C58E">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负责组织编制城市供水、供热、市政建设、燃气的产业政策及中长期发展目标、年度计划，并监督实施；负责住房城乡建设领域环境保护的监督、管理工作。</w:t>
      </w:r>
    </w:p>
    <w:p w14:paraId="7B39107E">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负责城市供水、供热、燃气、污水处理厂（站）管理工作。负责供水、供热、燃气企业的安全管理、监督、检查和指导；负责城市供水、污水处理设施的建设、维护和管理；负责供热、燃气企业的资质审查。</w:t>
      </w:r>
    </w:p>
    <w:p w14:paraId="1D8B268C">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指导和规范建筑市场，规范市场各方主体行为。监督管理全市建筑活动，负责建设工程项目招投标活动的监督管理；负责执行勘察设计、施工、建设监理、建设工程质量安全等法规、规章并监督和指导实施；负责建设工程质量监督管理工作；负责城建档案管理工作。</w:t>
      </w:r>
    </w:p>
    <w:p w14:paraId="341FE8D9">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承担主管行业领域的安全生产管理，指导督促企事业单位加强安全管理。依照有关法律、法规的规定履行安全生产监督管理职责，开展监管执法工作等职责。负责建筑施工安全生产和文明施工审查和监督管理，对企业相关安全生产违法行为提出处罚建议并移送案件。</w:t>
      </w:r>
    </w:p>
    <w:p w14:paraId="64FAA2AE">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管理市政府确定的城乡建设重点工程；协调解决城市建设中的相关问题；负责市政府交办的城乡重点工程（项目）组织实施工作。</w:t>
      </w:r>
    </w:p>
    <w:p w14:paraId="613D8801">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推进建筑节能和推广绿色建筑工作。组织推进重大建筑节能项目；组织城建系统重大科技项目攻关与新技术开发、墙体材料改革、技术引进及转化推广工作；管理工业与民用建筑的抗震设防工作；指导城市建设科学研究工作；组织实施全市建设行业科技发展规划和技术规范。</w:t>
      </w:r>
    </w:p>
    <w:p w14:paraId="77617B45">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承办市委、市政府交办的其他任务。</w:t>
      </w:r>
    </w:p>
    <w:p w14:paraId="33841086">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04FFC179">
      <w:pPr>
        <w:pStyle w:val="12"/>
        <w:ind w:firstLine="627" w:firstLineChars="196"/>
        <w:rPr>
          <w:rFonts w:hint="eastAsia" w:ascii="仿宋" w:hAnsi="仿宋" w:eastAsia="仿宋"/>
          <w:kern w:val="0"/>
          <w:szCs w:val="32"/>
        </w:rPr>
      </w:pPr>
      <w:r>
        <w:rPr>
          <w:rFonts w:hint="eastAsia" w:ascii="仿宋" w:hAnsi="仿宋" w:eastAsia="仿宋"/>
          <w:kern w:val="0"/>
          <w:szCs w:val="32"/>
          <w:highlight w:val="none"/>
        </w:rPr>
        <w:t>机构设置包括：</w:t>
      </w:r>
      <w:r>
        <w:rPr>
          <w:rFonts w:hint="eastAsia" w:ascii="仿宋" w:hAnsi="仿宋" w:eastAsia="仿宋"/>
          <w:kern w:val="0"/>
          <w:szCs w:val="32"/>
        </w:rPr>
        <w:t>办公室（信访办公室）、计划财务科、建设工程管理科（消防设计审查验收科）、城市建设工作科（行政审批办公室、村镇建设管理科）、安全生产监督管理办公室。行政机关下属8家事业单位：蛟河市供热管理中心、蛟河市城市建设档案馆、蛟河市廉租住房和经济适用住房管理中心、蛟河市房屋征收经办中心、蛟河市房屋产权交易管理中心、蛟河市建设工程质量监督站、蛟河市物业管理中心、蛟河市城市项目建设服务中心。</w:t>
      </w:r>
    </w:p>
    <w:p w14:paraId="7560212A">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10</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15</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3</w:t>
      </w:r>
      <w:r>
        <w:rPr>
          <w:rFonts w:hint="eastAsia" w:ascii="仿宋" w:hAnsi="仿宋" w:eastAsia="仿宋"/>
          <w:kern w:val="0"/>
          <w:szCs w:val="32"/>
          <w:highlight w:val="none"/>
        </w:rPr>
        <w:t>个。</w:t>
      </w:r>
    </w:p>
    <w:p w14:paraId="2F4B57C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755BE9AF">
      <w:pPr>
        <w:jc w:val="left"/>
        <w:rPr>
          <w:rFonts w:ascii="仿宋" w:hAnsi="仿宋" w:eastAsia="仿宋"/>
          <w:sz w:val="32"/>
          <w:szCs w:val="32"/>
          <w:highlight w:val="none"/>
        </w:rPr>
      </w:pPr>
    </w:p>
    <w:p w14:paraId="01414A08">
      <w:pPr>
        <w:jc w:val="left"/>
        <w:rPr>
          <w:rFonts w:ascii="仿宋" w:hAnsi="仿宋" w:eastAsia="仿宋"/>
          <w:sz w:val="32"/>
          <w:szCs w:val="32"/>
          <w:highlight w:val="none"/>
        </w:rPr>
      </w:pPr>
    </w:p>
    <w:p w14:paraId="14EA57F2">
      <w:pPr>
        <w:jc w:val="left"/>
        <w:rPr>
          <w:rFonts w:ascii="仿宋" w:hAnsi="仿宋" w:eastAsia="仿宋"/>
          <w:sz w:val="32"/>
          <w:szCs w:val="32"/>
          <w:highlight w:val="none"/>
        </w:rPr>
      </w:pPr>
    </w:p>
    <w:p w14:paraId="7B87FF44">
      <w:pPr>
        <w:jc w:val="left"/>
        <w:rPr>
          <w:rFonts w:ascii="仿宋" w:hAnsi="仿宋" w:eastAsia="仿宋"/>
          <w:sz w:val="32"/>
          <w:szCs w:val="32"/>
          <w:highlight w:val="none"/>
        </w:rPr>
      </w:pPr>
    </w:p>
    <w:p w14:paraId="0BDEDA74">
      <w:pPr>
        <w:jc w:val="left"/>
        <w:rPr>
          <w:rFonts w:ascii="仿宋" w:hAnsi="仿宋" w:eastAsia="仿宋"/>
          <w:sz w:val="32"/>
          <w:szCs w:val="32"/>
          <w:highlight w:val="none"/>
        </w:rPr>
      </w:pPr>
    </w:p>
    <w:p w14:paraId="5F107548">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4475110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354CF11F">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5D02A48E">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136.73</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194.52</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减少57.79</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本年度有人员调转</w:t>
      </w:r>
      <w:r>
        <w:rPr>
          <w:rFonts w:hint="eastAsia" w:ascii="仿宋" w:hAnsi="仿宋" w:eastAsia="仿宋"/>
          <w:sz w:val="32"/>
          <w:szCs w:val="32"/>
          <w:highlight w:val="none"/>
          <w:lang w:eastAsia="zh-CN"/>
        </w:rPr>
        <w:t>。</w:t>
      </w:r>
    </w:p>
    <w:p w14:paraId="08B2D11B">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527AC82B">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136.73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136.73万元，占100%；上年结转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136.73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 万元，占0%。</w:t>
      </w:r>
    </w:p>
    <w:p w14:paraId="74AB3132">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225A0B7D">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136.73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136.73</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59C92D00">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315253F0">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136.73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136.73万元，上年结转 0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城乡社区支出107.46万元，</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12.78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6.26</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10.23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082CBE81">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23E72883">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136.73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136.73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110.84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81.06</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25.89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18.94</w:t>
      </w:r>
      <w:r>
        <w:rPr>
          <w:rFonts w:hint="eastAsia" w:ascii="仿宋" w:hAnsi="仿宋" w:eastAsia="仿宋"/>
          <w:sz w:val="32"/>
          <w:szCs w:val="32"/>
          <w:highlight w:val="none"/>
        </w:rPr>
        <w:t>%。</w:t>
      </w:r>
    </w:p>
    <w:p w14:paraId="210203C3">
      <w:pPr>
        <w:ind w:firstLine="640" w:firstLineChars="200"/>
        <w:rPr>
          <w:rFonts w:hint="eastAsia" w:ascii="仿宋" w:hAnsi="仿宋" w:eastAsia="仿宋"/>
          <w:sz w:val="32"/>
          <w:szCs w:val="32"/>
          <w:highlight w:val="none"/>
        </w:rPr>
      </w:pPr>
      <w:r>
        <w:rPr>
          <w:rFonts w:hint="eastAsia" w:ascii="仿宋" w:hAnsi="仿宋" w:eastAsia="仿宋"/>
          <w:sz w:val="32"/>
          <w:szCs w:val="32"/>
        </w:rPr>
        <w:t>城乡社区（类）支出</w:t>
      </w:r>
      <w:r>
        <w:rPr>
          <w:rFonts w:hint="eastAsia" w:ascii="仿宋" w:hAnsi="仿宋" w:eastAsia="仿宋"/>
          <w:sz w:val="32"/>
          <w:szCs w:val="32"/>
          <w:lang w:val="en-US" w:eastAsia="zh-CN"/>
        </w:rPr>
        <w:t>107.46</w:t>
      </w:r>
      <w:r>
        <w:rPr>
          <w:rFonts w:hint="eastAsia" w:ascii="仿宋" w:hAnsi="仿宋" w:eastAsia="仿宋"/>
          <w:sz w:val="32"/>
          <w:szCs w:val="32"/>
        </w:rPr>
        <w:t>万元，占</w:t>
      </w:r>
      <w:r>
        <w:rPr>
          <w:rFonts w:hint="eastAsia" w:ascii="仿宋" w:hAnsi="仿宋" w:eastAsia="仿宋"/>
          <w:sz w:val="32"/>
          <w:szCs w:val="32"/>
          <w:lang w:val="en-US" w:eastAsia="zh-CN"/>
        </w:rPr>
        <w:t>78.6</w:t>
      </w:r>
      <w:r>
        <w:rPr>
          <w:rFonts w:hint="eastAsia" w:ascii="仿宋" w:hAnsi="仿宋" w:eastAsia="仿宋"/>
          <w:sz w:val="32"/>
          <w:szCs w:val="32"/>
        </w:rPr>
        <w:t>%，主要用于：人员工资、经费支出。</w:t>
      </w:r>
    </w:p>
    <w:p w14:paraId="1411252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社会保障和就业（类）支出12.78 万元，占9.34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基本养老保险缴费支出</w:t>
      </w:r>
      <w:r>
        <w:rPr>
          <w:rFonts w:hint="eastAsia" w:ascii="仿宋" w:hAnsi="仿宋" w:eastAsia="仿宋"/>
          <w:sz w:val="32"/>
          <w:szCs w:val="32"/>
          <w:highlight w:val="none"/>
          <w:lang w:val="en-US" w:eastAsia="zh-CN"/>
        </w:rPr>
        <w:t>。</w:t>
      </w:r>
    </w:p>
    <w:p w14:paraId="515680BA">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卫生健康（类）支出6.26万元，占4.6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医疗保险缴费支出</w:t>
      </w:r>
      <w:r>
        <w:rPr>
          <w:rFonts w:hint="eastAsia" w:ascii="仿宋" w:hAnsi="仿宋" w:eastAsia="仿宋"/>
          <w:sz w:val="32"/>
          <w:szCs w:val="32"/>
          <w:highlight w:val="none"/>
          <w:lang w:val="en-US" w:eastAsia="zh-CN"/>
        </w:rPr>
        <w:t>。</w:t>
      </w:r>
    </w:p>
    <w:p w14:paraId="24780292">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10.23万元，占7.46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住房公积金缴费支出</w:t>
      </w:r>
      <w:r>
        <w:rPr>
          <w:rFonts w:hint="eastAsia" w:ascii="仿宋" w:hAnsi="仿宋" w:eastAsia="仿宋"/>
          <w:sz w:val="32"/>
          <w:szCs w:val="32"/>
          <w:highlight w:val="none"/>
          <w:lang w:val="en-US" w:eastAsia="zh-CN"/>
        </w:rPr>
        <w:t>。</w:t>
      </w:r>
    </w:p>
    <w:p w14:paraId="7A12B5FB">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0DBE48CC">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136.73万元，其中：</w:t>
      </w:r>
    </w:p>
    <w:p w14:paraId="22C292B4">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110.84</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4B5D73B7">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25.89</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76766485">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072FBB0B">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3</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。其中：</w:t>
      </w:r>
    </w:p>
    <w:p w14:paraId="26078B84">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5F76B90C">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3</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r>
        <w:rPr>
          <w:rFonts w:hint="eastAsia" w:ascii="仿宋" w:hAnsi="仿宋" w:eastAsia="仿宋"/>
          <w:kern w:val="0"/>
          <w:sz w:val="32"/>
          <w:szCs w:val="32"/>
          <w:highlight w:val="none"/>
          <w:lang w:eastAsia="zh-CN"/>
        </w:rPr>
        <w:t>。</w:t>
      </w:r>
    </w:p>
    <w:p w14:paraId="3644874A">
      <w:pPr>
        <w:pStyle w:val="9"/>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4B917F7C">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2D704594">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002EA0A1">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3D7E6680">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5C226323">
      <w:pPr>
        <w:numPr>
          <w:ilvl w:val="0"/>
          <w:numId w:val="4"/>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7A0AE377">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081FF938">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25.89</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与</w:t>
      </w:r>
      <w:r>
        <w:rPr>
          <w:rFonts w:hint="eastAsia" w:ascii="仿宋" w:hAnsi="仿宋" w:eastAsia="仿宋"/>
          <w:sz w:val="32"/>
          <w:szCs w:val="32"/>
          <w:highlight w:val="none"/>
        </w:rPr>
        <w:t xml:space="preserve">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基本相同</w:t>
      </w:r>
      <w:r>
        <w:rPr>
          <w:rFonts w:hint="eastAsia" w:ascii="仿宋" w:hAnsi="仿宋" w:eastAsia="仿宋"/>
          <w:sz w:val="32"/>
          <w:szCs w:val="32"/>
          <w:highlight w:val="none"/>
          <w:lang w:eastAsia="zh-CN"/>
        </w:rPr>
        <w:t>。</w:t>
      </w:r>
    </w:p>
    <w:p w14:paraId="73B5EF79">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692E7A0C">
      <w:pPr>
        <w:pStyle w:val="8"/>
        <w:numPr>
          <w:ilvl w:val="0"/>
          <w:numId w:val="0"/>
        </w:numPr>
        <w:rPr>
          <w:rFonts w:hint="default" w:ascii="仿宋" w:hAnsi="仿宋" w:eastAsia="仿宋"/>
          <w:sz w:val="32"/>
          <w:szCs w:val="32"/>
          <w:highlight w:val="yellow"/>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w:t>
      </w:r>
      <w:r>
        <w:rPr>
          <w:rFonts w:hint="eastAsia" w:ascii="仿宋" w:hAnsi="仿宋" w:eastAsia="仿宋"/>
          <w:sz w:val="32"/>
          <w:szCs w:val="32"/>
          <w:highlight w:val="none"/>
          <w:lang w:val="en-US" w:eastAsia="zh-CN"/>
        </w:rPr>
        <w:t>与</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相同</w:t>
      </w:r>
      <w:r>
        <w:rPr>
          <w:rFonts w:hint="eastAsia" w:ascii="仿宋" w:hAnsi="仿宋" w:eastAsia="仿宋"/>
          <w:sz w:val="32"/>
          <w:szCs w:val="32"/>
          <w:highlight w:val="none"/>
          <w:lang w:eastAsia="zh-CN"/>
        </w:rPr>
        <w:t>。</w:t>
      </w:r>
    </w:p>
    <w:p w14:paraId="7AA3BA5D">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6E8EB801">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6A7CC093">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654CE6D5">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台（套）。</w:t>
      </w:r>
    </w:p>
    <w:p w14:paraId="07817B0E">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万元。</w:t>
      </w:r>
    </w:p>
    <w:p w14:paraId="3D3F00FA">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204DC1BA">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163088E0">
      <w:pPr>
        <w:jc w:val="left"/>
        <w:rPr>
          <w:rFonts w:ascii="仿宋" w:hAnsi="仿宋" w:eastAsia="仿宋"/>
          <w:sz w:val="32"/>
          <w:szCs w:val="32"/>
          <w:highlight w:val="none"/>
        </w:rPr>
      </w:pPr>
    </w:p>
    <w:p w14:paraId="523E6373">
      <w:pPr>
        <w:jc w:val="center"/>
        <w:rPr>
          <w:rFonts w:ascii="仿宋" w:hAnsi="仿宋" w:eastAsia="仿宋"/>
          <w:sz w:val="32"/>
          <w:szCs w:val="32"/>
          <w:highlight w:val="none"/>
        </w:rPr>
      </w:pPr>
    </w:p>
    <w:p w14:paraId="7E804D33">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42BE18E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74A6D6B4">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2E83434E">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21C9729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30BC858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891D86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187A3C5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2022378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23C6E8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4C94E7A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9780C5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2BEBDF0E">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3E616947">
      <w:pPr>
        <w:ind w:firstLine="640" w:firstLineChars="200"/>
        <w:rPr>
          <w:rFonts w:ascii="仿宋_GB2312" w:eastAsia="仿宋_GB2312"/>
          <w:sz w:val="32"/>
          <w:szCs w:val="32"/>
          <w:highlight w:val="none"/>
        </w:rPr>
      </w:pPr>
    </w:p>
    <w:p w14:paraId="2565153A">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286EBFF">
      <w:pPr>
        <w:jc w:val="left"/>
        <w:rPr>
          <w:rFonts w:ascii="仿宋" w:hAnsi="仿宋" w:eastAsia="仿宋"/>
          <w:sz w:val="32"/>
          <w:szCs w:val="32"/>
          <w:highlight w:val="none"/>
        </w:rPr>
      </w:pPr>
    </w:p>
    <w:p w14:paraId="41992B32">
      <w:pPr>
        <w:jc w:val="left"/>
        <w:rPr>
          <w:rFonts w:ascii="仿宋" w:hAnsi="仿宋" w:eastAsia="仿宋"/>
          <w:sz w:val="32"/>
          <w:szCs w:val="32"/>
          <w:highlight w:val="none"/>
        </w:rPr>
      </w:pPr>
    </w:p>
    <w:p w14:paraId="07755AA6">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33D6BA0B">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C7E4D2A">
      <w:pPr>
        <w:rPr>
          <w:rFonts w:ascii="仿宋" w:hAnsi="仿宋" w:eastAsia="仿宋"/>
          <w:sz w:val="32"/>
          <w:szCs w:val="32"/>
          <w:highlight w:val="none"/>
        </w:rPr>
      </w:pPr>
    </w:p>
    <w:p w14:paraId="0F45BA53">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E241E0"/>
    <w:multiLevelType w:val="singleLevel"/>
    <w:tmpl w:val="DDE241E0"/>
    <w:lvl w:ilvl="0" w:tentative="0">
      <w:start w:val="1"/>
      <w:numFmt w:val="chineseCounting"/>
      <w:suff w:val="nothing"/>
      <w:lvlText w:val="（%1）"/>
      <w:lvlJc w:val="left"/>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58B2013"/>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0B590C"/>
    <w:rsid w:val="15DA5399"/>
    <w:rsid w:val="187E3884"/>
    <w:rsid w:val="18F97B94"/>
    <w:rsid w:val="191A0446"/>
    <w:rsid w:val="19DC7686"/>
    <w:rsid w:val="1B4A363A"/>
    <w:rsid w:val="1BC526EF"/>
    <w:rsid w:val="1C882350"/>
    <w:rsid w:val="1CDC1A5B"/>
    <w:rsid w:val="1E78177F"/>
    <w:rsid w:val="1F451F7A"/>
    <w:rsid w:val="201F0044"/>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7CC2ADC"/>
    <w:rsid w:val="38253B59"/>
    <w:rsid w:val="382E47F1"/>
    <w:rsid w:val="385B501F"/>
    <w:rsid w:val="38DE30B8"/>
    <w:rsid w:val="39284901"/>
    <w:rsid w:val="3A482539"/>
    <w:rsid w:val="3A915046"/>
    <w:rsid w:val="3C4C15D1"/>
    <w:rsid w:val="3CEA5A8A"/>
    <w:rsid w:val="3D897F97"/>
    <w:rsid w:val="3DA7578C"/>
    <w:rsid w:val="3F356B12"/>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9D4F00"/>
    <w:rsid w:val="51BB428B"/>
    <w:rsid w:val="52D8145C"/>
    <w:rsid w:val="52DF1D28"/>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994DBA"/>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9B27468"/>
    <w:rsid w:val="7A64282A"/>
    <w:rsid w:val="7A8D6ADA"/>
    <w:rsid w:val="7CD763A1"/>
    <w:rsid w:val="7DB366E4"/>
    <w:rsid w:val="7E3B2C6B"/>
    <w:rsid w:val="7E492DA2"/>
    <w:rsid w:val="7F035665"/>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3881</Words>
  <Characters>4150</Characters>
  <Lines>19</Lines>
  <Paragraphs>5</Paragraphs>
  <TotalTime>26</TotalTime>
  <ScaleCrop>false</ScaleCrop>
  <LinksUpToDate>false</LinksUpToDate>
  <CharactersWithSpaces>4266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Lan</cp:lastModifiedBy>
  <dcterms:modified xsi:type="dcterms:W3CDTF">2025-01-19T10:35:50Z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D17AB62ED46A44FDAEA4FE6947F13060_13</vt:lpwstr>
  </property>
  <property fmtid="{D5CDD505-2E9C-101B-9397-08002B2CF9AE}" pid="4" name="KSOTemplateDocerSaveRecord">
    <vt:lpwstr>eyJoZGlkIjoiNWMyNjllMmU0YTcwZjNhMTY0NmE1Zjk3MGY5NmI4MWYiLCJ1c2VySWQiOiI0NTg0NDMyNzUifQ==</vt:lpwstr>
  </property>
</Properties>
</file>