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691E24FD">
      <w:pPr>
        <w:jc w:val="center"/>
        <w:rPr>
          <w:rFonts w:hint="default" w:ascii="黑体" w:hAnsi="黑体" w:eastAsia="黑体"/>
          <w:sz w:val="48"/>
          <w:szCs w:val="48"/>
          <w:highlight w:val="none"/>
          <w:lang w:val="en-US" w:eastAsia="zh-CN"/>
        </w:rPr>
      </w:pPr>
      <w:r>
        <w:rPr>
          <w:rFonts w:hint="eastAsia" w:ascii="黑体" w:hAnsi="黑体" w:eastAsia="黑体"/>
          <w:sz w:val="48"/>
          <w:szCs w:val="48"/>
          <w:highlight w:val="none"/>
          <w:lang w:val="en-US" w:eastAsia="zh-CN"/>
        </w:rPr>
        <w:t>蛟河市人力资源和社会保障局部门汇总</w:t>
      </w:r>
    </w:p>
    <w:p w14:paraId="4F8B34A8">
      <w:pPr>
        <w:jc w:val="center"/>
        <w:rPr>
          <w:rFonts w:hint="default" w:ascii="黑体" w:hAnsi="黑体" w:eastAsia="黑体"/>
          <w:sz w:val="48"/>
          <w:szCs w:val="48"/>
          <w:highlight w:val="none"/>
          <w:lang w:val="en-US" w:eastAsia="zh-CN"/>
        </w:rPr>
      </w:pPr>
      <w:r>
        <w:rPr>
          <w:rFonts w:hint="eastAsia" w:ascii="黑体" w:hAnsi="黑体" w:eastAsia="黑体"/>
          <w:sz w:val="48"/>
          <w:szCs w:val="48"/>
          <w:highlight w:val="none"/>
          <w:lang w:val="en-US" w:eastAsia="zh-CN"/>
        </w:rPr>
        <w:t>2025年预算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shd w:val="clear" w:color="auto" w:fill="auto"/>
          <w:lang w:val="en-US" w:eastAsia="zh-CN"/>
        </w:rPr>
      </w:pPr>
      <w:r>
        <w:rPr>
          <w:rFonts w:hint="eastAsia" w:ascii="黑体" w:hAnsi="黑体" w:eastAsia="黑体"/>
          <w:sz w:val="44"/>
          <w:szCs w:val="44"/>
          <w:highlight w:val="none"/>
          <w:shd w:val="clear" w:color="auto" w:fill="auto"/>
          <w:lang w:val="en-US" w:eastAsia="zh-CN"/>
        </w:rPr>
        <w:t>二〇二五年一月十六日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279F1E18">
      <w:pPr>
        <w:jc w:val="both"/>
        <w:rPr>
          <w:rFonts w:hint="eastAsia" w:ascii="黑体" w:hAnsi="黑体" w:eastAsia="黑体"/>
          <w:sz w:val="44"/>
          <w:szCs w:val="44"/>
          <w:highlight w:val="none"/>
        </w:rPr>
      </w:pPr>
    </w:p>
    <w:p w14:paraId="4D255AD0">
      <w:pPr>
        <w:jc w:val="center"/>
        <w:rPr>
          <w:rFonts w:hint="default" w:ascii="黑体" w:hAnsi="黑体" w:eastAsia="黑体"/>
          <w:sz w:val="44"/>
          <w:szCs w:val="44"/>
          <w:highlight w:val="none"/>
          <w:shd w:val="clear" w:color="auto" w:fill="auto"/>
          <w:lang w:val="en-US" w:eastAsia="zh-CN"/>
        </w:rPr>
      </w:pPr>
      <w:r>
        <w:rPr>
          <w:rFonts w:hint="eastAsia" w:ascii="黑体" w:hAnsi="黑体" w:eastAsia="黑体"/>
          <w:sz w:val="44"/>
          <w:szCs w:val="44"/>
          <w:highlight w:val="none"/>
          <w:shd w:val="clear" w:color="auto" w:fill="auto"/>
          <w:lang w:val="en-US" w:eastAsia="zh-CN"/>
        </w:rPr>
        <w:t>蛟河市人力资源和社会保障局部门汇总</w:t>
      </w:r>
    </w:p>
    <w:p w14:paraId="7EB7FC29">
      <w:pPr>
        <w:jc w:val="center"/>
        <w:rPr>
          <w:rFonts w:hint="eastAsia" w:ascii="黑体" w:hAnsi="黑体" w:eastAsia="黑体"/>
          <w:sz w:val="44"/>
          <w:szCs w:val="44"/>
          <w:highlight w:val="none"/>
        </w:rPr>
      </w:pP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25B1EF5A">
      <w:pPr>
        <w:jc w:val="both"/>
        <w:rPr>
          <w:rFonts w:hint="eastAsia" w:ascii="黑体" w:hAnsi="黑体" w:eastAsia="黑体"/>
          <w:sz w:val="44"/>
          <w:szCs w:val="44"/>
          <w:highlight w:val="none"/>
        </w:rPr>
      </w:pP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val="en-US" w:eastAsia="zh-CN"/>
        </w:rPr>
        <w:t>部门整体绩效目标表</w:t>
      </w:r>
    </w:p>
    <w:p w14:paraId="3A25E963">
      <w:pPr>
        <w:rPr>
          <w:rFonts w:ascii="仿宋" w:hAnsi="仿宋" w:eastAsia="仿宋"/>
          <w:sz w:val="32"/>
          <w:szCs w:val="32"/>
          <w:highlight w:val="none"/>
        </w:rPr>
      </w:pPr>
    </w:p>
    <w:p w14:paraId="1EA78DE3">
      <w:pPr>
        <w:numPr>
          <w:ilvl w:val="0"/>
          <w:numId w:val="3"/>
        </w:numPr>
        <w:jc w:val="center"/>
        <w:rPr>
          <w:rFonts w:hint="eastAsia" w:ascii="黑体" w:hAnsi="黑体" w:eastAsia="黑体"/>
          <w:sz w:val="32"/>
          <w:szCs w:val="32"/>
          <w:highlight w:val="none"/>
        </w:rPr>
      </w:pPr>
      <w:r>
        <w:rPr>
          <w:rFonts w:hint="eastAsia" w:ascii="黑体" w:hAnsi="黑体" w:eastAsia="黑体"/>
          <w:sz w:val="32"/>
          <w:szCs w:val="32"/>
          <w:highlight w:val="none"/>
        </w:rPr>
        <w:t xml:space="preserve">   部门概况</w:t>
      </w:r>
    </w:p>
    <w:p w14:paraId="64D7F2CC">
      <w:pPr>
        <w:numPr>
          <w:numId w:val="0"/>
        </w:numPr>
        <w:jc w:val="both"/>
        <w:rPr>
          <w:rFonts w:hint="eastAsia" w:ascii="黑体" w:hAnsi="黑体" w:eastAsia="黑体"/>
          <w:sz w:val="32"/>
          <w:szCs w:val="32"/>
          <w:highlight w:val="none"/>
        </w:rPr>
      </w:pPr>
    </w:p>
    <w:p w14:paraId="6AA622D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一、</w:t>
      </w:r>
      <w:bookmarkStart w:id="0" w:name="_GoBack"/>
      <w:bookmarkEnd w:id="0"/>
      <w:r>
        <w:rPr>
          <w:rFonts w:hint="eastAsia" w:ascii="仿宋" w:hAnsi="仿宋" w:eastAsia="仿宋"/>
          <w:sz w:val="32"/>
          <w:szCs w:val="32"/>
          <w:highlight w:val="none"/>
        </w:rPr>
        <w:t>主要职能</w:t>
      </w:r>
    </w:p>
    <w:p w14:paraId="75885AE2">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cs="Times New Roman"/>
          <w:kern w:val="2"/>
          <w:sz w:val="32"/>
          <w:szCs w:val="32"/>
          <w:lang w:val="en-US" w:eastAsia="zh-CN"/>
        </w:rPr>
        <w:t>蛟河市人力资源和社会保障局</w:t>
      </w:r>
    </w:p>
    <w:p w14:paraId="177DBB35">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cs="Times New Roman"/>
          <w:kern w:val="2"/>
          <w:sz w:val="32"/>
          <w:szCs w:val="32"/>
          <w:lang w:val="en-US" w:eastAsia="zh-CN"/>
        </w:rPr>
        <w:t>1994年</w:t>
      </w:r>
    </w:p>
    <w:p w14:paraId="1B080D66">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cs="Times New Roman"/>
          <w:kern w:val="2"/>
          <w:sz w:val="32"/>
          <w:szCs w:val="32"/>
          <w:lang w:val="en-US" w:eastAsia="zh-CN"/>
        </w:rPr>
        <w:t>是市人民政府办事机构，属于机关单位。</w:t>
      </w:r>
    </w:p>
    <w:p w14:paraId="2435027C">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highlight w:val="none"/>
        </w:rPr>
        <w:t>业务：</w:t>
      </w:r>
    </w:p>
    <w:p w14:paraId="2A6F2AD1">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（一）贯彻执行国家、省、吉林市人力资源和社会保障事业发展规划、政策；组织起草人力资源和社会保障地方性规章；拟订相关政策和措施并组织实施和监督检查。</w:t>
      </w:r>
    </w:p>
    <w:p w14:paraId="4943DE5F">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（二）拟订市政府绩效评估实施办法，并组织实施和监督检查；负责表彰奖励和评比达标表彰工作。</w:t>
      </w:r>
    </w:p>
    <w:p w14:paraId="155D439E">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（三）拟订并组织实施全市人力资源市场发展规划和人力资源流动政策，加强人力资源市场开发建设，建立全市统一规范的人力资源市场，促进人力资源合理流动、有效配置。</w:t>
      </w:r>
    </w:p>
    <w:p w14:paraId="361D81B6">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四）负责促进就业工作。拟订统筹城乡的就业发展规划和政策，完善公共就业服务体系；组织落实就业援助制度；拟订落实职业资格制度相关政策，建立面向城乡劳动者的职业培训制度；牵头拟订大中专毕业生就业政策。</w:t>
      </w:r>
    </w:p>
    <w:p w14:paraId="04CA97C3">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五）建立覆盖城乡的社会保障体系。拟订并组织实施城乡社会保险及其补充保险政策和标准；拟订全市工伤、养老、失业保险政策和机关企事业单位基本养老保险政策；负责全市工伤认定工作；会同有关部门拟订社会保险及其补充保险基金管理和监督办法。</w:t>
      </w:r>
    </w:p>
    <w:p w14:paraId="61A9046C">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（六）负责就业、失业、养老、工伤等社会保险基金预测预警和信息引导；拟订应对预案，实施预防、调节和控制，保持就业形势稳定和社会保险基金总体收支平衡。</w:t>
      </w:r>
    </w:p>
    <w:p w14:paraId="40FACD0D">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（七）拟订事业单位人员工资收入分配制度改革实施意见，促进建立企事业单位人员工资正常增长和支付保障机制；拟订企事业单位人员福利和离退休政策；参与市级企业事业单位劳动模范评定工作。</w:t>
      </w:r>
    </w:p>
    <w:p w14:paraId="136D6BF1">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八）指导事业单位人事制度改革，负责全市事业单位公开招聘，人员调配工作；拟订事业单位人员和机关工勤人员管理政策；参与人才开发及信息管理工作，制定专业技术人员管理和继续教育政策；牵头推进深化职称制度改革工作；负责高层次专业技术人才选拔和培养工作；拟订高技能人才、农村实用人才培养和激励政策；拟订有关人员调配政策和特殊人员安置政策。</w:t>
      </w:r>
    </w:p>
    <w:p w14:paraId="3B112A35">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（九）拟订农民工工作综合性政策和规划，推动农民工相关政策的落实，协调解决重点难点问题，维护农民工合法权益。</w:t>
      </w:r>
    </w:p>
    <w:p w14:paraId="0F0B2B3F">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统筹实施劳动、人事争议调解仲裁制度；拟订劳动关系政策，完善劳动关系协调机制；监督落实消除非法使用童工政策和女工、未成年工的特殊劳动保护政策；组织实施劳动监察，协调劳动者维权工作，依法查处重大案件。</w:t>
      </w:r>
    </w:p>
    <w:p w14:paraId="2C5EFCE4">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（十一）受理劳动、人事信访事项，协调处理有关劳动、人事方面的重大信访或突发事件。</w:t>
      </w:r>
    </w:p>
    <w:p w14:paraId="794FF1E3">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（十二）负责全市人力资源和社会保障方面的国际交流与合作工作。</w:t>
      </w:r>
    </w:p>
    <w:p w14:paraId="4F1F69A1">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（十三）承担主管行业领域的安全生产管理，指导督促企事业单位加强安全管理。依据有关法律、法规履行安全生产监督管理职责，开展监管执法工作等职责。</w:t>
      </w:r>
    </w:p>
    <w:p w14:paraId="520C293B">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lang w:val="en-US" w:eastAsia="zh-CN"/>
        </w:rPr>
        <w:t>（十四）完成市委、市政府交办的其他任务。</w:t>
      </w:r>
    </w:p>
    <w:p w14:paraId="0AA677C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二、机构设置</w:t>
      </w:r>
    </w:p>
    <w:p w14:paraId="117F7F9E">
      <w:pPr>
        <w:spacing w:line="360" w:lineRule="auto"/>
        <w:ind w:firstLine="640" w:firstLineChars="200"/>
        <w:rPr>
          <w:rFonts w:hint="eastAsia" w:ascii="仿宋" w:hAnsi="仿宋" w:eastAsia="仿宋" w:cs="Times New Roman"/>
          <w:kern w:val="2"/>
          <w:sz w:val="32"/>
          <w:szCs w:val="32"/>
          <w:lang w:val="en-US" w:eastAsia="zh-CN"/>
        </w:rPr>
      </w:pPr>
      <w:r>
        <w:rPr>
          <w:rFonts w:hint="eastAsia" w:ascii="仿宋" w:hAnsi="仿宋" w:eastAsia="仿宋" w:cs="Times New Roman"/>
          <w:kern w:val="2"/>
          <w:sz w:val="32"/>
          <w:szCs w:val="32"/>
          <w:lang w:val="en-US" w:eastAsia="zh-CN"/>
        </w:rPr>
        <w:t>机构设置包括：行政办公室、规划财务审计科、事业单位人事管理科、专业技术人员管理科、事业单位工资福利科、养老保险科（行政审批办公室）、劳动就业科、工伤失业保险科（失业调控办公室、劳动鉴定委员会办公室）、争议仲裁科（劳动争议仲裁院、信访办公室、劳动监察科）、评比达标表彰办公室、就业服务局、人才交流服务中心、矿区离退休人员服务中心。</w:t>
      </w:r>
    </w:p>
    <w:p w14:paraId="23AC5EB2">
      <w:pPr>
        <w:spacing w:line="360" w:lineRule="auto"/>
        <w:ind w:firstLine="640" w:firstLineChars="200"/>
        <w:rPr>
          <w:rFonts w:hint="eastAsia" w:ascii="仿宋" w:hAnsi="仿宋" w:eastAsia="仿宋" w:cs="Times New Roman"/>
          <w:kern w:val="2"/>
          <w:sz w:val="32"/>
          <w:szCs w:val="32"/>
          <w:lang w:val="en-US" w:eastAsia="zh-CN"/>
        </w:rPr>
      </w:pPr>
      <w:r>
        <w:rPr>
          <w:rFonts w:hint="eastAsia" w:ascii="仿宋" w:hAnsi="仿宋" w:eastAsia="仿宋" w:cs="Times New Roman"/>
          <w:kern w:val="2"/>
          <w:sz w:val="32"/>
          <w:szCs w:val="32"/>
          <w:lang w:val="en-US" w:eastAsia="zh-CN"/>
        </w:rPr>
        <w:t>纳入蛟河市人力资源和社会保障局2025年度部门预算编制范围的单位包括：</w:t>
      </w:r>
    </w:p>
    <w:p w14:paraId="44DE5E1F">
      <w:pPr>
        <w:spacing w:line="360" w:lineRule="auto"/>
        <w:ind w:firstLine="640" w:firstLineChars="200"/>
        <w:rPr>
          <w:rFonts w:hint="eastAsia" w:ascii="仿宋" w:hAnsi="仿宋" w:eastAsia="仿宋" w:cs="Times New Roman"/>
          <w:kern w:val="2"/>
          <w:sz w:val="32"/>
          <w:szCs w:val="32"/>
          <w:lang w:val="en-US" w:eastAsia="zh-CN"/>
        </w:rPr>
      </w:pPr>
      <w:r>
        <w:rPr>
          <w:rFonts w:hint="eastAsia" w:ascii="仿宋" w:hAnsi="仿宋" w:eastAsia="仿宋" w:cs="Times New Roman"/>
          <w:kern w:val="2"/>
          <w:sz w:val="32"/>
          <w:szCs w:val="32"/>
          <w:lang w:val="en-US" w:eastAsia="zh-CN"/>
        </w:rPr>
        <w:t>1.蛟河市人力资源和社会保障局（本级）</w:t>
      </w:r>
    </w:p>
    <w:p w14:paraId="7F9C1E9E">
      <w:pPr>
        <w:spacing w:line="360" w:lineRule="auto"/>
        <w:ind w:firstLine="640" w:firstLineChars="200"/>
        <w:rPr>
          <w:rFonts w:hint="eastAsia" w:ascii="仿宋" w:hAnsi="仿宋" w:eastAsia="仿宋" w:cs="Times New Roman"/>
          <w:kern w:val="2"/>
          <w:sz w:val="32"/>
          <w:szCs w:val="32"/>
          <w:lang w:val="en-US" w:eastAsia="zh-CN"/>
        </w:rPr>
      </w:pPr>
      <w:r>
        <w:rPr>
          <w:rFonts w:hint="eastAsia" w:ascii="仿宋" w:hAnsi="仿宋" w:eastAsia="仿宋" w:cs="Times New Roman"/>
          <w:kern w:val="2"/>
          <w:sz w:val="32"/>
          <w:szCs w:val="32"/>
          <w:lang w:val="en-US" w:eastAsia="zh-CN"/>
        </w:rPr>
        <w:t xml:space="preserve">2.蛟河市就业服务局   </w:t>
      </w:r>
    </w:p>
    <w:p w14:paraId="227F280E">
      <w:pPr>
        <w:spacing w:line="360" w:lineRule="auto"/>
        <w:ind w:firstLine="640" w:firstLineChars="200"/>
        <w:rPr>
          <w:rFonts w:hint="eastAsia" w:ascii="仿宋" w:hAnsi="仿宋" w:eastAsia="仿宋" w:cs="Times New Roman"/>
          <w:kern w:val="2"/>
          <w:sz w:val="32"/>
          <w:szCs w:val="32"/>
          <w:lang w:val="en-US" w:eastAsia="zh-CN"/>
        </w:rPr>
      </w:pPr>
      <w:r>
        <w:rPr>
          <w:rFonts w:hint="eastAsia" w:ascii="仿宋" w:hAnsi="仿宋" w:eastAsia="仿宋" w:cs="Times New Roman"/>
          <w:kern w:val="2"/>
          <w:sz w:val="32"/>
          <w:szCs w:val="32"/>
          <w:lang w:val="en-US" w:eastAsia="zh-CN"/>
        </w:rPr>
        <w:t>3.蛟河市人才交流服务中心</w:t>
      </w:r>
    </w:p>
    <w:p w14:paraId="47023602">
      <w:pPr>
        <w:spacing w:line="360" w:lineRule="auto"/>
        <w:ind w:firstLine="640" w:firstLineChars="200"/>
        <w:rPr>
          <w:rFonts w:hint="default" w:ascii="仿宋" w:hAnsi="仿宋" w:eastAsia="仿宋" w:cs="Times New Roman"/>
          <w:kern w:val="2"/>
          <w:sz w:val="32"/>
          <w:szCs w:val="32"/>
          <w:lang w:val="en-US" w:eastAsia="zh-CN"/>
        </w:rPr>
      </w:pPr>
      <w:r>
        <w:rPr>
          <w:rFonts w:hint="eastAsia" w:ascii="仿宋" w:hAnsi="仿宋" w:eastAsia="仿宋" w:cs="Times New Roman"/>
          <w:kern w:val="2"/>
          <w:sz w:val="32"/>
          <w:szCs w:val="32"/>
          <w:lang w:val="en-US" w:eastAsia="zh-CN"/>
        </w:rPr>
        <w:t>4.蛟河市矿区离退休人员服务中心</w:t>
      </w:r>
    </w:p>
    <w:p w14:paraId="73251D01">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68</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88</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9</w:t>
      </w:r>
      <w:r>
        <w:rPr>
          <w:rFonts w:hint="eastAsia" w:ascii="仿宋" w:hAnsi="仿宋" w:eastAsia="仿宋"/>
          <w:kern w:val="0"/>
          <w:szCs w:val="32"/>
          <w:highlight w:val="none"/>
        </w:rPr>
        <w:t>个。</w:t>
      </w:r>
    </w:p>
    <w:p w14:paraId="68D16467">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1DDEB330">
      <w:pPr>
        <w:jc w:val="left"/>
        <w:rPr>
          <w:rFonts w:hint="eastAsia" w:ascii="仿宋" w:hAnsi="仿宋" w:eastAsia="仿宋"/>
          <w:sz w:val="32"/>
          <w:szCs w:val="32"/>
          <w:highlight w:val="none"/>
        </w:rPr>
      </w:pPr>
    </w:p>
    <w:p w14:paraId="6069B817">
      <w:pPr>
        <w:jc w:val="left"/>
        <w:rPr>
          <w:rFonts w:hint="eastAsia" w:ascii="仿宋" w:hAnsi="仿宋" w:eastAsia="仿宋"/>
          <w:sz w:val="32"/>
          <w:szCs w:val="32"/>
          <w:highlight w:val="none"/>
        </w:rPr>
      </w:pPr>
    </w:p>
    <w:p w14:paraId="32842FC2">
      <w:pPr>
        <w:jc w:val="left"/>
        <w:rPr>
          <w:rFonts w:hint="eastAsia" w:ascii="仿宋" w:hAnsi="仿宋" w:eastAsia="仿宋"/>
          <w:sz w:val="32"/>
          <w:szCs w:val="32"/>
          <w:highlight w:val="none"/>
        </w:rPr>
      </w:pPr>
    </w:p>
    <w:p w14:paraId="7C24AE44">
      <w:pPr>
        <w:jc w:val="left"/>
        <w:rPr>
          <w:rFonts w:hint="eastAsia" w:ascii="仿宋" w:hAnsi="仿宋" w:eastAsia="仿宋"/>
          <w:sz w:val="32"/>
          <w:szCs w:val="32"/>
          <w:highlight w:val="none"/>
        </w:rPr>
      </w:pPr>
    </w:p>
    <w:p w14:paraId="49DDD3D2">
      <w:pPr>
        <w:jc w:val="left"/>
        <w:rPr>
          <w:rFonts w:hint="eastAsia" w:ascii="仿宋" w:hAnsi="仿宋" w:eastAsia="仿宋"/>
          <w:sz w:val="32"/>
          <w:szCs w:val="32"/>
          <w:highlight w:val="none"/>
        </w:rPr>
      </w:pPr>
    </w:p>
    <w:p w14:paraId="596EBC4B">
      <w:pPr>
        <w:jc w:val="left"/>
        <w:rPr>
          <w:rFonts w:hint="eastAsia" w:ascii="仿宋" w:hAnsi="仿宋" w:eastAsia="仿宋"/>
          <w:sz w:val="32"/>
          <w:szCs w:val="32"/>
          <w:highlight w:val="none"/>
        </w:rPr>
      </w:pPr>
    </w:p>
    <w:p w14:paraId="7BB84E5C">
      <w:pPr>
        <w:jc w:val="left"/>
        <w:rPr>
          <w:rFonts w:hint="eastAsia" w:ascii="仿宋" w:hAnsi="仿宋" w:eastAsia="仿宋"/>
          <w:sz w:val="32"/>
          <w:szCs w:val="32"/>
          <w:highlight w:val="none"/>
        </w:rPr>
      </w:pPr>
    </w:p>
    <w:p w14:paraId="5AC019E0">
      <w:pPr>
        <w:jc w:val="left"/>
        <w:rPr>
          <w:rFonts w:hint="eastAsia" w:ascii="仿宋" w:hAnsi="仿宋" w:eastAsia="仿宋"/>
          <w:sz w:val="32"/>
          <w:szCs w:val="32"/>
          <w:highlight w:val="none"/>
        </w:rPr>
      </w:pPr>
    </w:p>
    <w:p w14:paraId="40684752">
      <w:pPr>
        <w:jc w:val="left"/>
        <w:rPr>
          <w:rFonts w:hint="eastAsia" w:ascii="仿宋" w:hAnsi="仿宋" w:eastAsia="仿宋"/>
          <w:sz w:val="32"/>
          <w:szCs w:val="32"/>
          <w:highlight w:val="none"/>
        </w:rPr>
      </w:pPr>
    </w:p>
    <w:p w14:paraId="6DF86D65">
      <w:pPr>
        <w:jc w:val="left"/>
        <w:rPr>
          <w:rFonts w:hint="eastAsia" w:ascii="仿宋" w:hAnsi="仿宋" w:eastAsia="仿宋"/>
          <w:sz w:val="32"/>
          <w:szCs w:val="32"/>
          <w:highlight w:val="none"/>
        </w:rPr>
      </w:pPr>
    </w:p>
    <w:p w14:paraId="0B9098E8">
      <w:pPr>
        <w:jc w:val="left"/>
        <w:rPr>
          <w:rFonts w:hint="eastAsia" w:ascii="仿宋" w:hAnsi="仿宋" w:eastAsia="仿宋"/>
          <w:sz w:val="32"/>
          <w:szCs w:val="32"/>
          <w:highlight w:val="none"/>
        </w:rPr>
      </w:pPr>
    </w:p>
    <w:p w14:paraId="6A4DA6E8">
      <w:pPr>
        <w:jc w:val="left"/>
        <w:rPr>
          <w:rFonts w:hint="eastAsia" w:ascii="仿宋" w:hAnsi="仿宋" w:eastAsia="仿宋"/>
          <w:sz w:val="32"/>
          <w:szCs w:val="32"/>
          <w:highlight w:val="none"/>
        </w:rPr>
      </w:pPr>
    </w:p>
    <w:p w14:paraId="28AF1000">
      <w:pPr>
        <w:jc w:val="left"/>
        <w:rPr>
          <w:rFonts w:hint="eastAsia" w:ascii="仿宋" w:hAnsi="仿宋" w:eastAsia="仿宋"/>
          <w:sz w:val="32"/>
          <w:szCs w:val="32"/>
          <w:highlight w:val="none"/>
        </w:rPr>
      </w:pPr>
    </w:p>
    <w:p w14:paraId="327F59C3">
      <w:pPr>
        <w:jc w:val="left"/>
        <w:rPr>
          <w:rFonts w:hint="eastAsia" w:ascii="仿宋" w:hAnsi="仿宋" w:eastAsia="仿宋"/>
          <w:sz w:val="32"/>
          <w:szCs w:val="32"/>
          <w:highlight w:val="none"/>
        </w:rPr>
      </w:pPr>
    </w:p>
    <w:p w14:paraId="317D69CD">
      <w:pPr>
        <w:jc w:val="left"/>
        <w:rPr>
          <w:rFonts w:hint="eastAsia" w:ascii="仿宋" w:hAnsi="仿宋" w:eastAsia="仿宋"/>
          <w:sz w:val="32"/>
          <w:szCs w:val="32"/>
          <w:highlight w:val="none"/>
        </w:rPr>
      </w:pPr>
    </w:p>
    <w:p w14:paraId="7CDB61A7">
      <w:pPr>
        <w:jc w:val="left"/>
        <w:rPr>
          <w:rFonts w:hint="eastAsia" w:ascii="仿宋" w:hAnsi="仿宋" w:eastAsia="仿宋"/>
          <w:sz w:val="32"/>
          <w:szCs w:val="32"/>
          <w:highlight w:val="none"/>
        </w:rPr>
      </w:pPr>
    </w:p>
    <w:p w14:paraId="0876B731">
      <w:pPr>
        <w:jc w:val="left"/>
        <w:rPr>
          <w:rFonts w:hint="eastAsia" w:ascii="仿宋" w:hAnsi="仿宋" w:eastAsia="仿宋"/>
          <w:sz w:val="32"/>
          <w:szCs w:val="32"/>
          <w:highlight w:val="none"/>
        </w:rPr>
      </w:pPr>
    </w:p>
    <w:p w14:paraId="54E4A48F">
      <w:pPr>
        <w:jc w:val="left"/>
        <w:rPr>
          <w:rFonts w:hint="eastAsia" w:ascii="仿宋" w:hAnsi="仿宋" w:eastAsia="仿宋"/>
          <w:sz w:val="32"/>
          <w:szCs w:val="32"/>
          <w:highlight w:val="none"/>
        </w:rPr>
      </w:pPr>
    </w:p>
    <w:p w14:paraId="02B6D17F">
      <w:pPr>
        <w:jc w:val="left"/>
        <w:rPr>
          <w:rFonts w:hint="eastAsia"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999.33万元减少197.68</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人员减少，经费减少</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w:t>
      </w:r>
      <w:r>
        <w:rPr>
          <w:rFonts w:hint="eastAsia" w:ascii="仿宋" w:hAnsi="仿宋" w:eastAsia="仿宋"/>
          <w:sz w:val="32"/>
          <w:szCs w:val="32"/>
          <w:highlight w:val="none"/>
          <w:lang w:val="en-US" w:eastAsia="zh-CN"/>
        </w:rPr>
        <w:t>部门</w:t>
      </w:r>
      <w:r>
        <w:rPr>
          <w:rFonts w:hint="eastAsia" w:ascii="仿宋" w:hAnsi="仿宋" w:eastAsia="仿宋"/>
          <w:sz w:val="32"/>
          <w:szCs w:val="32"/>
          <w:highlight w:val="none"/>
        </w:rPr>
        <w:t>收入预算</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w:t>
      </w:r>
      <w:r>
        <w:rPr>
          <w:rFonts w:hint="eastAsia" w:ascii="仿宋" w:hAnsi="仿宋" w:eastAsia="仿宋"/>
          <w:sz w:val="32"/>
          <w:szCs w:val="32"/>
          <w:highlight w:val="none"/>
          <w:lang w:val="en-US" w:eastAsia="zh-CN"/>
        </w:rPr>
        <w:t>入801.65万元，占100%；上年结转0万元，占0%。本年收入中，一般公共预算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801.65万元，上年结转0万元。支出包括：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695.53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41.30</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64.83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出0万元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801.65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719.71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89.78</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81.94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10.22</w:t>
      </w:r>
      <w:r>
        <w:rPr>
          <w:rFonts w:hint="eastAsia" w:ascii="仿宋" w:hAnsi="仿宋" w:eastAsia="仿宋"/>
          <w:sz w:val="32"/>
          <w:szCs w:val="32"/>
          <w:highlight w:val="none"/>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社会保障和就业（类）支出695.53万元，占86.76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人员经费、公用经费。</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卫生健康（类）支出41.30万元，占5.15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职工养老保险费、医疗保险。</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住房保障（类）支出64.83万元，占8.09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职工住房公积金。</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2025年一般公共预算基本支出801.65万元，其中：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719.71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81.94</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6.50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1.00</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1.00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公务接待减少</w:t>
      </w:r>
      <w:r>
        <w:rPr>
          <w:rFonts w:hint="eastAsia" w:ascii="仿宋" w:hAnsi="仿宋" w:eastAsia="仿宋"/>
          <w:kern w:val="0"/>
          <w:sz w:val="32"/>
          <w:szCs w:val="32"/>
          <w:highlight w:val="none"/>
          <w:lang w:eastAsia="zh-CN"/>
        </w:rPr>
        <w:t>。</w:t>
      </w:r>
    </w:p>
    <w:p w14:paraId="78C2E709">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5.00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5.00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val="en-US" w:eastAsia="zh-CN"/>
        </w:rPr>
        <w:t>部门</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val="en-US" w:eastAsia="zh-CN"/>
        </w:rPr>
        <w:t>部门</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2025</w:t>
      </w:r>
      <w:r>
        <w:rPr>
          <w:rFonts w:hint="eastAsia" w:ascii="仿宋" w:hAnsi="仿宋" w:eastAsia="仿宋"/>
          <w:color w:val="auto"/>
          <w:sz w:val="32"/>
          <w:szCs w:val="32"/>
          <w:highlight w:val="none"/>
        </w:rPr>
        <w:t>年部门本级</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家行政单位以及</w:t>
      </w:r>
      <w:r>
        <w:rPr>
          <w:rFonts w:hint="eastAsia" w:ascii="仿宋" w:hAnsi="仿宋" w:eastAsia="仿宋"/>
          <w:color w:val="auto"/>
          <w:sz w:val="32"/>
          <w:szCs w:val="32"/>
          <w:highlight w:val="none"/>
          <w:lang w:val="en-US" w:eastAsia="zh-CN"/>
        </w:rPr>
        <w:t>蛟河市就业服务局1</w:t>
      </w:r>
      <w:r>
        <w:rPr>
          <w:rFonts w:hint="eastAsia" w:ascii="仿宋" w:hAnsi="仿宋" w:eastAsia="仿宋"/>
          <w:color w:val="auto"/>
          <w:sz w:val="32"/>
          <w:szCs w:val="32"/>
          <w:highlight w:val="none"/>
        </w:rPr>
        <w:t>家参公单位的机关运行经费财政拨款预算</w:t>
      </w:r>
      <w:r>
        <w:rPr>
          <w:rFonts w:hint="eastAsia" w:ascii="仿宋" w:hAnsi="仿宋" w:eastAsia="仿宋"/>
          <w:color w:val="auto"/>
          <w:sz w:val="32"/>
          <w:szCs w:val="32"/>
          <w:highlight w:val="none"/>
          <w:lang w:val="en-US" w:eastAsia="zh-CN"/>
        </w:rPr>
        <w:t>56.57</w:t>
      </w:r>
      <w:r>
        <w:rPr>
          <w:rFonts w:hint="eastAsia" w:ascii="仿宋" w:hAnsi="仿宋" w:eastAsia="仿宋"/>
          <w:color w:val="auto"/>
          <w:sz w:val="32"/>
          <w:szCs w:val="32"/>
          <w:highlight w:val="none"/>
        </w:rPr>
        <w:t xml:space="preserve">万元，比 </w:t>
      </w:r>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年预算增加</w:t>
      </w:r>
      <w:r>
        <w:rPr>
          <w:rFonts w:hint="eastAsia" w:ascii="仿宋" w:hAnsi="仿宋" w:eastAsia="仿宋"/>
          <w:color w:val="auto"/>
          <w:sz w:val="32"/>
          <w:szCs w:val="32"/>
          <w:highlight w:val="none"/>
          <w:lang w:val="en-US" w:eastAsia="zh-CN"/>
        </w:rPr>
        <w:t>2.75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5.11</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val="en-US" w:eastAsia="zh-CN"/>
        </w:rPr>
        <w:t>人员增加</w:t>
      </w:r>
      <w:r>
        <w:rPr>
          <w:rFonts w:hint="eastAsia" w:ascii="仿宋" w:hAnsi="仿宋" w:eastAsia="仿宋"/>
          <w:color w:val="auto"/>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color w:val="0000FF"/>
          <w:sz w:val="32"/>
          <w:szCs w:val="32"/>
          <w:highlight w:val="none"/>
        </w:rPr>
        <w:t xml:space="preserve">  </w:t>
      </w:r>
      <w:r>
        <w:rPr>
          <w:rFonts w:hint="eastAsia" w:ascii="仿宋" w:hAnsi="仿宋" w:eastAsia="仿宋"/>
          <w:color w:val="auto"/>
          <w:sz w:val="32"/>
          <w:szCs w:val="32"/>
          <w:highlight w:val="none"/>
        </w:rPr>
        <w:t>截至</w:t>
      </w:r>
      <w:r>
        <w:rPr>
          <w:rFonts w:hint="eastAsia" w:ascii="仿宋" w:hAnsi="仿宋" w:eastAsia="仿宋"/>
          <w:color w:val="auto"/>
          <w:sz w:val="32"/>
          <w:szCs w:val="32"/>
          <w:highlight w:val="none"/>
          <w:lang w:eastAsia="zh-CN"/>
        </w:rPr>
        <w:t>2025</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月，部门本级和所属各预算单位共有车辆</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辆，其中，领导干部用车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辆、一般公务用车</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辆,一般执法执勤用车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辆</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特种专业技术用车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辆</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辆，价值200万元以上大型设备</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color w:val="0000FF"/>
          <w:sz w:val="32"/>
          <w:szCs w:val="32"/>
          <w:highlight w:val="none"/>
        </w:rPr>
      </w:pPr>
      <w:r>
        <w:rPr>
          <w:rFonts w:hint="eastAsia" w:ascii="仿宋" w:hAnsi="仿宋" w:eastAsia="仿宋"/>
          <w:sz w:val="32"/>
          <w:szCs w:val="32"/>
          <w:highlight w:val="none"/>
        </w:rPr>
        <w:t xml:space="preserve">    </w:t>
      </w:r>
      <w:r>
        <w:rPr>
          <w:rFonts w:hint="eastAsia" w:ascii="仿宋" w:hAnsi="仿宋" w:eastAsia="仿宋"/>
          <w:color w:val="auto"/>
          <w:sz w:val="32"/>
          <w:szCs w:val="32"/>
          <w:highlight w:val="none"/>
        </w:rPr>
        <w:t>按照全面实施预算绩效管理的要求，结合本部门职能和重点工作，</w:t>
      </w:r>
      <w:r>
        <w:rPr>
          <w:rFonts w:hint="eastAsia" w:ascii="仿宋" w:hAnsi="仿宋" w:eastAsia="仿宋"/>
          <w:color w:val="auto"/>
          <w:sz w:val="32"/>
          <w:szCs w:val="32"/>
          <w:highlight w:val="none"/>
          <w:lang w:eastAsia="zh-CN"/>
        </w:rPr>
        <w:t>2025</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本部门整体绩效目标金额合计801.65万元。年度总体目标</w:t>
      </w:r>
      <w:r>
        <w:rPr>
          <w:rFonts w:hint="eastAsia" w:ascii="仿宋" w:hAnsi="仿宋" w:eastAsia="仿宋"/>
          <w:color w:val="auto"/>
          <w:sz w:val="32"/>
          <w:szCs w:val="32"/>
          <w:highlight w:val="none"/>
        </w:rPr>
        <w:t>为推广线上就业服务平台；加大力度做好农村劳动力的转移就业工作；加强公益性岗位开发管理；精准发放创业担保贷款；完善制度，规范就业专项补助资金使用；稳步开展人事人才工作；创建和谐稳定劳动关系。同时，将</w:t>
      </w:r>
      <w:r>
        <w:rPr>
          <w:rFonts w:hint="eastAsia" w:ascii="仿宋" w:hAnsi="仿宋" w:eastAsia="仿宋"/>
          <w:color w:val="auto"/>
          <w:sz w:val="32"/>
          <w:szCs w:val="32"/>
          <w:highlight w:val="none"/>
          <w:lang w:val="en-US" w:eastAsia="zh-CN"/>
        </w:rPr>
        <w:t>部门整体绩效目标</w:t>
      </w:r>
      <w:r>
        <w:rPr>
          <w:rFonts w:hint="eastAsia" w:ascii="仿宋" w:hAnsi="仿宋" w:eastAsia="仿宋"/>
          <w:color w:val="auto"/>
          <w:sz w:val="32"/>
          <w:szCs w:val="32"/>
          <w:highlight w:val="none"/>
        </w:rPr>
        <w:t>进一步细化为绩效指标和指标值（附</w:t>
      </w:r>
      <w:r>
        <w:rPr>
          <w:rFonts w:hint="eastAsia" w:ascii="仿宋" w:hAnsi="仿宋" w:eastAsia="仿宋"/>
          <w:color w:val="auto"/>
          <w:sz w:val="32"/>
          <w:szCs w:val="32"/>
          <w:highlight w:val="none"/>
          <w:lang w:val="en-US" w:eastAsia="zh-CN"/>
        </w:rPr>
        <w:t>部门整体绩效目标表</w:t>
      </w:r>
      <w:r>
        <w:rPr>
          <w:rFonts w:hint="eastAsia" w:ascii="仿宋" w:hAnsi="仿宋" w:eastAsia="仿宋"/>
          <w:color w:val="auto"/>
          <w:sz w:val="32"/>
          <w:szCs w:val="32"/>
          <w:highlight w:val="none"/>
        </w:rPr>
        <w:t>）。</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201017FB">
      <w:pPr>
        <w:jc w:val="center"/>
        <w:rPr>
          <w:rFonts w:ascii="仿宋" w:hAnsi="仿宋" w:eastAsia="仿宋"/>
          <w:sz w:val="32"/>
          <w:szCs w:val="32"/>
          <w:highlight w:val="none"/>
        </w:rPr>
      </w:pPr>
    </w:p>
    <w:p w14:paraId="4296650F">
      <w:pPr>
        <w:jc w:val="both"/>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val="en-US" w:eastAsia="zh-CN"/>
        </w:rPr>
        <w:t>见附表</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p>
    <w:p w14:paraId="7E1E6C31">
      <w:pPr>
        <w:rPr>
          <w:rFonts w:ascii="仿宋" w:hAnsi="仿宋" w:eastAsia="仿宋"/>
          <w:b/>
          <w:color w:val="auto"/>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3D615D16"/>
    <w:multiLevelType w:val="singleLevel"/>
    <w:tmpl w:val="3D615D16"/>
    <w:lvl w:ilvl="0" w:tentative="0">
      <w:start w:val="1"/>
      <w:numFmt w:val="chineseCounting"/>
      <w:suff w:val="space"/>
      <w:lvlText w:val="第%1部分"/>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CB619B"/>
    <w:rsid w:val="034968DF"/>
    <w:rsid w:val="03D7309C"/>
    <w:rsid w:val="03F248D4"/>
    <w:rsid w:val="05810D93"/>
    <w:rsid w:val="06B01930"/>
    <w:rsid w:val="07C71E05"/>
    <w:rsid w:val="07D90070"/>
    <w:rsid w:val="080D4B49"/>
    <w:rsid w:val="0A450E4E"/>
    <w:rsid w:val="0A7F599D"/>
    <w:rsid w:val="0B4115AF"/>
    <w:rsid w:val="0C633590"/>
    <w:rsid w:val="0C7C5D37"/>
    <w:rsid w:val="0D0F40E1"/>
    <w:rsid w:val="0E0E4A27"/>
    <w:rsid w:val="0E235FAD"/>
    <w:rsid w:val="0E933B6E"/>
    <w:rsid w:val="0F4C4086"/>
    <w:rsid w:val="10D9450A"/>
    <w:rsid w:val="112B3A0C"/>
    <w:rsid w:val="117169F8"/>
    <w:rsid w:val="119D6F55"/>
    <w:rsid w:val="11DF6BD5"/>
    <w:rsid w:val="12C62CA4"/>
    <w:rsid w:val="13225964"/>
    <w:rsid w:val="13385187"/>
    <w:rsid w:val="13877EBC"/>
    <w:rsid w:val="15DA5399"/>
    <w:rsid w:val="161F262E"/>
    <w:rsid w:val="187E3884"/>
    <w:rsid w:val="18A230A3"/>
    <w:rsid w:val="18C15C1F"/>
    <w:rsid w:val="18F97B94"/>
    <w:rsid w:val="191A0446"/>
    <w:rsid w:val="1B4A363A"/>
    <w:rsid w:val="1BC526EF"/>
    <w:rsid w:val="1C882350"/>
    <w:rsid w:val="1CDC1A5B"/>
    <w:rsid w:val="1E78177F"/>
    <w:rsid w:val="1F451F7A"/>
    <w:rsid w:val="1F530B6C"/>
    <w:rsid w:val="1FD4146C"/>
    <w:rsid w:val="1FFB4DF8"/>
    <w:rsid w:val="20EF71F1"/>
    <w:rsid w:val="22AF6AE8"/>
    <w:rsid w:val="2323212D"/>
    <w:rsid w:val="23FA4ECF"/>
    <w:rsid w:val="2527010D"/>
    <w:rsid w:val="26DC2BFA"/>
    <w:rsid w:val="27063D31"/>
    <w:rsid w:val="27742DDB"/>
    <w:rsid w:val="27747EDE"/>
    <w:rsid w:val="277B13CF"/>
    <w:rsid w:val="27F84A8D"/>
    <w:rsid w:val="28041684"/>
    <w:rsid w:val="285B5D80"/>
    <w:rsid w:val="28753BF0"/>
    <w:rsid w:val="28AA47B7"/>
    <w:rsid w:val="28CB641B"/>
    <w:rsid w:val="29207EE3"/>
    <w:rsid w:val="2AC832F5"/>
    <w:rsid w:val="2ADC2444"/>
    <w:rsid w:val="2C785E93"/>
    <w:rsid w:val="2D742D12"/>
    <w:rsid w:val="2E3342C6"/>
    <w:rsid w:val="2E6B6A5A"/>
    <w:rsid w:val="306D3401"/>
    <w:rsid w:val="30DF5CBE"/>
    <w:rsid w:val="333948D8"/>
    <w:rsid w:val="343731EC"/>
    <w:rsid w:val="344D4C9B"/>
    <w:rsid w:val="34A905DD"/>
    <w:rsid w:val="36273D08"/>
    <w:rsid w:val="37361A0B"/>
    <w:rsid w:val="381B0A50"/>
    <w:rsid w:val="382316B2"/>
    <w:rsid w:val="38253B59"/>
    <w:rsid w:val="385B501F"/>
    <w:rsid w:val="38A406D6"/>
    <w:rsid w:val="38DE30B8"/>
    <w:rsid w:val="39284901"/>
    <w:rsid w:val="3A482539"/>
    <w:rsid w:val="3A915046"/>
    <w:rsid w:val="3C4C15D1"/>
    <w:rsid w:val="3CEA5A8A"/>
    <w:rsid w:val="3D897F97"/>
    <w:rsid w:val="3DA7578C"/>
    <w:rsid w:val="3DA908AC"/>
    <w:rsid w:val="3F597259"/>
    <w:rsid w:val="3F6B774D"/>
    <w:rsid w:val="3F7F7B16"/>
    <w:rsid w:val="3F8F587F"/>
    <w:rsid w:val="41C31810"/>
    <w:rsid w:val="42202CED"/>
    <w:rsid w:val="426F369B"/>
    <w:rsid w:val="430260DD"/>
    <w:rsid w:val="43811983"/>
    <w:rsid w:val="442476FC"/>
    <w:rsid w:val="442F01B5"/>
    <w:rsid w:val="455E1F7C"/>
    <w:rsid w:val="464C6278"/>
    <w:rsid w:val="46C17DAD"/>
    <w:rsid w:val="46F64D5D"/>
    <w:rsid w:val="494616A5"/>
    <w:rsid w:val="49B81F53"/>
    <w:rsid w:val="4AAC7860"/>
    <w:rsid w:val="4B7B147A"/>
    <w:rsid w:val="4BD25472"/>
    <w:rsid w:val="4D0265B8"/>
    <w:rsid w:val="4D8021B9"/>
    <w:rsid w:val="4DFF6777"/>
    <w:rsid w:val="4EB752BA"/>
    <w:rsid w:val="4ED6365B"/>
    <w:rsid w:val="4F5E1E42"/>
    <w:rsid w:val="4F735000"/>
    <w:rsid w:val="4F9273F2"/>
    <w:rsid w:val="4FC13833"/>
    <w:rsid w:val="50F75E7E"/>
    <w:rsid w:val="51436F0F"/>
    <w:rsid w:val="51BB428B"/>
    <w:rsid w:val="52DF1D28"/>
    <w:rsid w:val="53360094"/>
    <w:rsid w:val="53A4083B"/>
    <w:rsid w:val="543F741C"/>
    <w:rsid w:val="54923E8D"/>
    <w:rsid w:val="54941844"/>
    <w:rsid w:val="5538455E"/>
    <w:rsid w:val="55DE0CCF"/>
    <w:rsid w:val="567F658B"/>
    <w:rsid w:val="56A94595"/>
    <w:rsid w:val="56FB1D20"/>
    <w:rsid w:val="580A299B"/>
    <w:rsid w:val="58330B85"/>
    <w:rsid w:val="58CD149A"/>
    <w:rsid w:val="598A2EE8"/>
    <w:rsid w:val="59C56616"/>
    <w:rsid w:val="5B5D76B7"/>
    <w:rsid w:val="5B8E44C5"/>
    <w:rsid w:val="5C982767"/>
    <w:rsid w:val="5CD80EBE"/>
    <w:rsid w:val="5CFA751D"/>
    <w:rsid w:val="5D6D6DA8"/>
    <w:rsid w:val="5DB8541C"/>
    <w:rsid w:val="5DF11787"/>
    <w:rsid w:val="5E221344"/>
    <w:rsid w:val="5E32788E"/>
    <w:rsid w:val="5E343D6A"/>
    <w:rsid w:val="5EDA66BF"/>
    <w:rsid w:val="5FB128C2"/>
    <w:rsid w:val="5FED10F1"/>
    <w:rsid w:val="60340051"/>
    <w:rsid w:val="60731B65"/>
    <w:rsid w:val="60D4713E"/>
    <w:rsid w:val="60D72763"/>
    <w:rsid w:val="61525EF8"/>
    <w:rsid w:val="619C1A0A"/>
    <w:rsid w:val="61F47A98"/>
    <w:rsid w:val="62B666A5"/>
    <w:rsid w:val="62E15FE9"/>
    <w:rsid w:val="65255B39"/>
    <w:rsid w:val="659C7B1A"/>
    <w:rsid w:val="65B433A9"/>
    <w:rsid w:val="65E847CC"/>
    <w:rsid w:val="66FD0891"/>
    <w:rsid w:val="67286561"/>
    <w:rsid w:val="672901E4"/>
    <w:rsid w:val="691F508E"/>
    <w:rsid w:val="69CE6E20"/>
    <w:rsid w:val="6A136F29"/>
    <w:rsid w:val="6A340295"/>
    <w:rsid w:val="6A5666B8"/>
    <w:rsid w:val="6C626D3D"/>
    <w:rsid w:val="6DF0400D"/>
    <w:rsid w:val="6E5B22F8"/>
    <w:rsid w:val="6EB92B57"/>
    <w:rsid w:val="6EE54787"/>
    <w:rsid w:val="6FD902CD"/>
    <w:rsid w:val="70EF2762"/>
    <w:rsid w:val="71201EF9"/>
    <w:rsid w:val="716F5053"/>
    <w:rsid w:val="71D91536"/>
    <w:rsid w:val="726E73F3"/>
    <w:rsid w:val="729E55FD"/>
    <w:rsid w:val="73D62900"/>
    <w:rsid w:val="73FA7C77"/>
    <w:rsid w:val="744F0BEE"/>
    <w:rsid w:val="74A215D5"/>
    <w:rsid w:val="74A55A8E"/>
    <w:rsid w:val="75263FB5"/>
    <w:rsid w:val="7539654A"/>
    <w:rsid w:val="75836739"/>
    <w:rsid w:val="75916F41"/>
    <w:rsid w:val="76C55E68"/>
    <w:rsid w:val="76C753DE"/>
    <w:rsid w:val="76C775D8"/>
    <w:rsid w:val="771B741D"/>
    <w:rsid w:val="77FC6956"/>
    <w:rsid w:val="7A28432B"/>
    <w:rsid w:val="7A64282A"/>
    <w:rsid w:val="7A8D6ADA"/>
    <w:rsid w:val="7AAF05A8"/>
    <w:rsid w:val="7BB3231A"/>
    <w:rsid w:val="7C8E388C"/>
    <w:rsid w:val="7CD763A1"/>
    <w:rsid w:val="7CE309DD"/>
    <w:rsid w:val="7DB366E4"/>
    <w:rsid w:val="7E3B2C6B"/>
    <w:rsid w:val="7E492DA2"/>
    <w:rsid w:val="7EE61B14"/>
    <w:rsid w:val="7EF944E8"/>
    <w:rsid w:val="7F690CDA"/>
    <w:rsid w:val="7F736048"/>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3929</Words>
  <Characters>4234</Characters>
  <Lines>19</Lines>
  <Paragraphs>5</Paragraphs>
  <TotalTime>22</TotalTime>
  <ScaleCrop>false</ScaleCrop>
  <LinksUpToDate>false</LinksUpToDate>
  <CharactersWithSpaces>4319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短发小高个儿</cp:lastModifiedBy>
  <cp:lastPrinted>2025-01-16T02:00:00Z</cp:lastPrinted>
  <dcterms:modified xsi:type="dcterms:W3CDTF">2025-01-21T05:49:39Z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eyJoZGlkIjoiNDFkMDJkMDc4MjFkMDJjMDQzMzA3N2RhMGZiNTY0NDIiLCJ1c2VySWQiOiI5NTMyOTgxMDYifQ==</vt:lpwstr>
  </property>
</Properties>
</file>