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E927ED">
      <w:pPr>
        <w:jc w:val="center"/>
        <w:rPr>
          <w:rFonts w:hint="eastAsia" w:ascii="黑体" w:hAnsi="黑体" w:eastAsia="黑体"/>
          <w:sz w:val="44"/>
          <w:szCs w:val="44"/>
          <w:highlight w:val="none"/>
          <w:lang w:val="en-US" w:eastAsia="zh-CN"/>
        </w:rPr>
      </w:pPr>
    </w:p>
    <w:p w14:paraId="5C463269">
      <w:pPr>
        <w:jc w:val="center"/>
        <w:rPr>
          <w:rFonts w:hint="eastAsia" w:ascii="黑体" w:hAnsi="黑体" w:eastAsia="黑体"/>
          <w:sz w:val="44"/>
          <w:szCs w:val="44"/>
          <w:highlight w:val="none"/>
          <w:lang w:val="en-US" w:eastAsia="zh-CN"/>
        </w:rPr>
      </w:pPr>
    </w:p>
    <w:p w14:paraId="3C2FC21C">
      <w:pPr>
        <w:jc w:val="center"/>
        <w:rPr>
          <w:rFonts w:hint="eastAsia" w:ascii="黑体" w:hAnsi="黑体" w:eastAsia="黑体"/>
          <w:sz w:val="44"/>
          <w:szCs w:val="44"/>
          <w:highlight w:val="none"/>
          <w:lang w:val="en-US" w:eastAsia="zh-CN"/>
        </w:rPr>
      </w:pPr>
    </w:p>
    <w:p w14:paraId="2A4506C2">
      <w:pPr>
        <w:jc w:val="center"/>
        <w:rPr>
          <w:rFonts w:hint="eastAsia" w:ascii="黑体" w:hAnsi="黑体" w:eastAsia="黑体"/>
          <w:sz w:val="44"/>
          <w:szCs w:val="44"/>
          <w:highlight w:val="none"/>
          <w:lang w:val="en-US" w:eastAsia="zh-CN"/>
        </w:rPr>
      </w:pPr>
    </w:p>
    <w:p w14:paraId="2B1E5594">
      <w:pPr>
        <w:jc w:val="center"/>
        <w:rPr>
          <w:rFonts w:hint="eastAsia" w:ascii="黑体" w:hAnsi="黑体" w:eastAsia="黑体"/>
          <w:sz w:val="44"/>
          <w:szCs w:val="44"/>
          <w:highlight w:val="none"/>
          <w:lang w:val="en-US" w:eastAsia="zh-CN"/>
        </w:rPr>
      </w:pPr>
    </w:p>
    <w:p w14:paraId="691E24FD">
      <w:pPr>
        <w:jc w:val="center"/>
        <w:rPr>
          <w:rFonts w:hint="eastAsia" w:ascii="黑体" w:hAnsi="黑体" w:eastAsia="黑体"/>
          <w:sz w:val="52"/>
          <w:szCs w:val="52"/>
          <w:highlight w:val="none"/>
          <w:lang w:val="en-US" w:eastAsia="zh-CN"/>
        </w:rPr>
      </w:pPr>
      <w:r>
        <w:rPr>
          <w:rFonts w:hint="eastAsia" w:ascii="黑体" w:hAnsi="黑体" w:eastAsia="黑体"/>
          <w:sz w:val="52"/>
          <w:szCs w:val="52"/>
          <w:highlight w:val="none"/>
          <w:lang w:val="en-US" w:eastAsia="zh-CN"/>
        </w:rPr>
        <w:t>蛟河市人力资源和社会保障局</w:t>
      </w:r>
    </w:p>
    <w:p w14:paraId="4F8B34A8">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2025年预算</w:t>
      </w:r>
    </w:p>
    <w:p w14:paraId="5E289FEA">
      <w:pPr>
        <w:jc w:val="center"/>
        <w:rPr>
          <w:rFonts w:hint="eastAsia" w:ascii="黑体" w:hAnsi="黑体" w:eastAsia="黑体"/>
          <w:sz w:val="44"/>
          <w:szCs w:val="44"/>
          <w:highlight w:val="none"/>
        </w:rPr>
      </w:pPr>
    </w:p>
    <w:p w14:paraId="4BE0C33C">
      <w:pPr>
        <w:jc w:val="center"/>
        <w:rPr>
          <w:rFonts w:hint="eastAsia" w:ascii="黑体" w:hAnsi="黑体" w:eastAsia="黑体"/>
          <w:sz w:val="44"/>
          <w:szCs w:val="44"/>
          <w:highlight w:val="none"/>
        </w:rPr>
      </w:pPr>
    </w:p>
    <w:p w14:paraId="549C7DEE">
      <w:pPr>
        <w:jc w:val="center"/>
        <w:rPr>
          <w:rFonts w:hint="eastAsia" w:ascii="黑体" w:hAnsi="黑体" w:eastAsia="黑体"/>
          <w:sz w:val="44"/>
          <w:szCs w:val="44"/>
          <w:highlight w:val="none"/>
        </w:rPr>
      </w:pPr>
    </w:p>
    <w:p w14:paraId="2AD24D0C">
      <w:pPr>
        <w:jc w:val="center"/>
        <w:rPr>
          <w:rFonts w:hint="eastAsia" w:ascii="黑体" w:hAnsi="黑体" w:eastAsia="黑体"/>
          <w:sz w:val="44"/>
          <w:szCs w:val="44"/>
          <w:highlight w:val="none"/>
        </w:rPr>
      </w:pPr>
    </w:p>
    <w:p w14:paraId="08176F38">
      <w:pPr>
        <w:jc w:val="center"/>
        <w:rPr>
          <w:rFonts w:hint="eastAsia" w:ascii="黑体" w:hAnsi="黑体" w:eastAsia="黑体"/>
          <w:sz w:val="44"/>
          <w:szCs w:val="44"/>
          <w:highlight w:val="none"/>
        </w:rPr>
      </w:pPr>
    </w:p>
    <w:p w14:paraId="3C68ACE2">
      <w:pPr>
        <w:jc w:val="center"/>
        <w:rPr>
          <w:rFonts w:hint="eastAsia" w:ascii="黑体" w:hAnsi="黑体" w:eastAsia="黑体"/>
          <w:sz w:val="44"/>
          <w:szCs w:val="44"/>
          <w:highlight w:val="none"/>
        </w:rPr>
      </w:pPr>
    </w:p>
    <w:p w14:paraId="05381B5C">
      <w:pPr>
        <w:jc w:val="center"/>
        <w:rPr>
          <w:rFonts w:hint="eastAsia" w:ascii="黑体" w:hAnsi="黑体" w:eastAsia="黑体"/>
          <w:sz w:val="44"/>
          <w:szCs w:val="44"/>
          <w:highlight w:val="none"/>
        </w:rPr>
      </w:pPr>
    </w:p>
    <w:p w14:paraId="7353A9A3">
      <w:pPr>
        <w:jc w:val="center"/>
        <w:rPr>
          <w:rFonts w:hint="eastAsia" w:ascii="黑体" w:hAnsi="黑体" w:eastAsia="黑体"/>
          <w:sz w:val="44"/>
          <w:szCs w:val="44"/>
          <w:highlight w:val="none"/>
        </w:rPr>
      </w:pPr>
    </w:p>
    <w:p w14:paraId="5F9636F7">
      <w:pPr>
        <w:jc w:val="center"/>
        <w:rPr>
          <w:rFonts w:hint="eastAsia" w:ascii="黑体" w:hAnsi="黑体" w:eastAsia="黑体"/>
          <w:sz w:val="44"/>
          <w:szCs w:val="44"/>
          <w:highlight w:val="none"/>
        </w:rPr>
      </w:pPr>
    </w:p>
    <w:p w14:paraId="130CB7CD">
      <w:pPr>
        <w:jc w:val="center"/>
        <w:rPr>
          <w:rFonts w:hint="eastAsia" w:ascii="黑体" w:hAnsi="黑体" w:eastAsia="黑体"/>
          <w:sz w:val="44"/>
          <w:szCs w:val="44"/>
          <w:highlight w:val="none"/>
        </w:rPr>
      </w:pPr>
    </w:p>
    <w:p w14:paraId="6A31E7AD">
      <w:pPr>
        <w:jc w:val="center"/>
        <w:rPr>
          <w:rFonts w:hint="default" w:ascii="黑体" w:hAnsi="黑体" w:eastAsia="黑体"/>
          <w:sz w:val="44"/>
          <w:szCs w:val="44"/>
          <w:highlight w:val="none"/>
          <w:shd w:val="clear" w:color="auto" w:fill="auto"/>
          <w:lang w:val="en-US" w:eastAsia="zh-CN"/>
        </w:rPr>
      </w:pPr>
      <w:r>
        <w:rPr>
          <w:rFonts w:hint="eastAsia" w:ascii="黑体" w:hAnsi="黑体" w:eastAsia="黑体"/>
          <w:sz w:val="44"/>
          <w:szCs w:val="44"/>
          <w:highlight w:val="none"/>
          <w:shd w:val="clear" w:color="auto" w:fill="auto"/>
          <w:lang w:val="en-US" w:eastAsia="zh-CN"/>
        </w:rPr>
        <w:t>二〇二五年一月十六日</w:t>
      </w:r>
    </w:p>
    <w:p w14:paraId="5B1D7CE5">
      <w:pPr>
        <w:jc w:val="center"/>
        <w:rPr>
          <w:rFonts w:hint="eastAsia" w:ascii="黑体" w:hAnsi="黑体" w:eastAsia="黑体"/>
          <w:sz w:val="44"/>
          <w:szCs w:val="44"/>
          <w:highlight w:val="none"/>
        </w:rPr>
      </w:pPr>
    </w:p>
    <w:p w14:paraId="77C4F07D">
      <w:pPr>
        <w:jc w:val="center"/>
        <w:rPr>
          <w:rFonts w:hint="eastAsia" w:ascii="黑体" w:hAnsi="黑体" w:eastAsia="黑体"/>
          <w:sz w:val="44"/>
          <w:szCs w:val="44"/>
          <w:highlight w:val="none"/>
        </w:rPr>
      </w:pPr>
    </w:p>
    <w:p w14:paraId="279F1E18">
      <w:pPr>
        <w:jc w:val="both"/>
        <w:rPr>
          <w:rFonts w:hint="eastAsia" w:ascii="黑体" w:hAnsi="黑体" w:eastAsia="黑体"/>
          <w:sz w:val="44"/>
          <w:szCs w:val="44"/>
          <w:highlight w:val="none"/>
        </w:rPr>
      </w:pPr>
    </w:p>
    <w:p w14:paraId="1EE08077">
      <w:pPr>
        <w:jc w:val="both"/>
        <w:rPr>
          <w:rFonts w:hint="eastAsia" w:ascii="黑体" w:hAnsi="黑体" w:eastAsia="黑体"/>
          <w:sz w:val="44"/>
          <w:szCs w:val="44"/>
          <w:highlight w:val="none"/>
        </w:rPr>
      </w:pPr>
    </w:p>
    <w:p w14:paraId="4D255AD0">
      <w:pPr>
        <w:jc w:val="center"/>
        <w:rPr>
          <w:rFonts w:hint="eastAsia" w:ascii="黑体" w:hAnsi="黑体" w:eastAsia="黑体"/>
          <w:sz w:val="44"/>
          <w:szCs w:val="44"/>
          <w:highlight w:val="none"/>
          <w:shd w:val="clear" w:color="auto" w:fill="auto"/>
          <w:lang w:val="en-US" w:eastAsia="zh-CN"/>
        </w:rPr>
      </w:pPr>
      <w:r>
        <w:rPr>
          <w:rFonts w:hint="eastAsia" w:ascii="黑体" w:hAnsi="黑体" w:eastAsia="黑体"/>
          <w:sz w:val="44"/>
          <w:szCs w:val="44"/>
          <w:highlight w:val="none"/>
          <w:shd w:val="clear" w:color="auto" w:fill="auto"/>
          <w:lang w:val="en-US" w:eastAsia="zh-CN"/>
        </w:rPr>
        <w:t>蛟河市人力资源和社会保障局</w:t>
      </w:r>
    </w:p>
    <w:p w14:paraId="7EB7FC29">
      <w:pPr>
        <w:jc w:val="center"/>
        <w:rPr>
          <w:rFonts w:hint="eastAsia" w:ascii="黑体" w:hAnsi="黑体" w:eastAsia="黑体"/>
          <w:sz w:val="44"/>
          <w:szCs w:val="44"/>
          <w:highlight w:val="none"/>
        </w:rPr>
      </w:pPr>
      <w:r>
        <w:rPr>
          <w:rFonts w:hint="eastAsia" w:ascii="黑体" w:hAnsi="黑体" w:eastAsia="黑体"/>
          <w:sz w:val="44"/>
          <w:szCs w:val="44"/>
          <w:highlight w:val="none"/>
          <w:lang w:eastAsia="zh-CN"/>
        </w:rPr>
        <w:t>2025</w:t>
      </w:r>
      <w:r>
        <w:rPr>
          <w:rFonts w:hint="eastAsia" w:ascii="黑体" w:hAnsi="黑体" w:eastAsia="黑体"/>
          <w:sz w:val="44"/>
          <w:szCs w:val="44"/>
          <w:highlight w:val="none"/>
        </w:rPr>
        <w:t>年预算</w:t>
      </w:r>
    </w:p>
    <w:p w14:paraId="25B1EF5A">
      <w:pPr>
        <w:jc w:val="both"/>
        <w:rPr>
          <w:rFonts w:hint="eastAsia" w:ascii="黑体" w:hAnsi="黑体" w:eastAsia="黑体"/>
          <w:sz w:val="44"/>
          <w:szCs w:val="44"/>
          <w:highlight w:val="none"/>
        </w:rPr>
      </w:pPr>
    </w:p>
    <w:p w14:paraId="5B870A93">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14DDB517">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2E243AE7">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2F0FC025">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42944B69">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3A96051A">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29316508">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6BF4329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1422C51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E709AC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290D04B">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1E8CBA8">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757ECBC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0A11A81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3AAB4FC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042C220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4826A492">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44BA1FD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A25E963">
      <w:pPr>
        <w:rPr>
          <w:rFonts w:ascii="仿宋" w:hAnsi="仿宋" w:eastAsia="仿宋"/>
          <w:sz w:val="32"/>
          <w:szCs w:val="32"/>
          <w:highlight w:val="none"/>
        </w:rPr>
      </w:pPr>
    </w:p>
    <w:p w14:paraId="3260BACD">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1EA78DE3">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AA622D6">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一、主要职能</w:t>
      </w:r>
    </w:p>
    <w:p w14:paraId="75885AE2">
      <w:pPr>
        <w:pStyle w:val="10"/>
        <w:widowControl/>
        <w:spacing w:line="620" w:lineRule="exact"/>
        <w:ind w:firstLine="627" w:firstLineChars="196"/>
        <w:contextualSpacing/>
        <w:rPr>
          <w:rFonts w:ascii="仿宋" w:hAnsi="仿宋" w:eastAsia="仿宋"/>
          <w:bCs/>
          <w:sz w:val="32"/>
          <w:szCs w:val="32"/>
          <w:highlight w:val="none"/>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cs="Times New Roman"/>
          <w:kern w:val="2"/>
          <w:sz w:val="32"/>
          <w:szCs w:val="32"/>
          <w:lang w:val="en-US" w:eastAsia="zh-CN"/>
        </w:rPr>
        <w:t>蛟河市人力资源和社会保障局</w:t>
      </w:r>
    </w:p>
    <w:p w14:paraId="177DBB35">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cs="Times New Roman"/>
          <w:kern w:val="2"/>
          <w:sz w:val="32"/>
          <w:szCs w:val="32"/>
          <w:lang w:val="en-US" w:eastAsia="zh-CN"/>
        </w:rPr>
        <w:t>1994年</w:t>
      </w:r>
    </w:p>
    <w:p w14:paraId="1B080D66">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cs="Times New Roman"/>
          <w:kern w:val="2"/>
          <w:sz w:val="32"/>
          <w:szCs w:val="32"/>
          <w:lang w:val="en-US" w:eastAsia="zh-CN"/>
        </w:rPr>
        <w:t>是市人民政府办事机构，属于机关单位。</w:t>
      </w:r>
    </w:p>
    <w:p w14:paraId="2435027C">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highlight w:val="none"/>
          <w:lang w:eastAsia="zh-CN"/>
        </w:rPr>
        <w:t>、</w:t>
      </w:r>
      <w:r>
        <w:rPr>
          <w:rFonts w:hint="eastAsia" w:ascii="仿宋" w:hAnsi="仿宋" w:eastAsia="仿宋"/>
          <w:bCs/>
          <w:kern w:val="0"/>
          <w:sz w:val="32"/>
          <w:szCs w:val="32"/>
          <w:highlight w:val="none"/>
        </w:rPr>
        <w:t>业务：</w:t>
      </w:r>
    </w:p>
    <w:p w14:paraId="2A6F2AD1">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（一）贯彻执行国家、省、吉林市人力资源和社会保障事业发展规划、政策；组织起草人力资源和社会保障地方性规章；拟订相关政策和措施并组织实施和监督检查。</w:t>
      </w:r>
    </w:p>
    <w:p w14:paraId="4943DE5F">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（二）拟订市政府绩效评估实施办法，并组织实施和监督检查；负责表彰奖励和评比达标表彰工作。</w:t>
      </w:r>
    </w:p>
    <w:p w14:paraId="155D439E">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（三）拟订并组织实施全市人力资源市场发展规划和人力资源流动政策，加强人力资源市场开发建设，建立全市统一规范的人力资源市场，促进人力资源合理流动、有效配置。</w:t>
      </w:r>
    </w:p>
    <w:p w14:paraId="361D81B6">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四）负责促进就业工作。拟订统筹城乡的就业发展规划和政策，完善公共就业服务体系；组织落实就业援助制度；拟订落实职业资格制度相关政策，建立面向城乡劳动者的职业培训制度；牵头拟订大中专毕业生就业政策。</w:t>
      </w:r>
    </w:p>
    <w:p w14:paraId="04CA97C3">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五）建立覆盖城乡的社会保障体系。拟订并组织实施城乡社会保险及其补充保险政策和标准；拟订全市工伤、养老、失业保险政策和机关企事业单位基本养老保险政策；负责全市工伤认定工作；会同有关部门拟订社会保险及其补充保险基金管理和监督办法。</w:t>
      </w:r>
    </w:p>
    <w:p w14:paraId="61A9046C">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（六）负责就业、失业、养老、工伤等社会保险基金预测预警和信息引导；拟订应对预案，实施预防、调节和控制，保持就业形势稳定和社会保险基金总体收支平衡。</w:t>
      </w:r>
    </w:p>
    <w:p w14:paraId="40FACD0D">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（七）拟订事业单位人员工资收入分配制度改革实施意见，促进建立企事业单位人员工资正常增长和支付保障机制；拟订企事业单位人员福利和离退休政策；参与市级企业事业单位劳动模范评定工作。</w:t>
      </w:r>
    </w:p>
    <w:p w14:paraId="136D6BF1">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八）指导事业单位人事制度改革，负责全市事业单位公开招聘，人员调配工作；拟订事业单位人员和机关工勤人员管理政策；参与人才开发及信息管理工作，制定专业技术人员管理和继续教育政策；牵头推进深化职称制度改革工作；负责高层次专业技术人才选拔和培养工作；拟订高技能人才、农村实用人才培养和激励政策；拟订有关人员调配政策和特殊人员安置政策。</w:t>
      </w:r>
    </w:p>
    <w:p w14:paraId="3B112A35">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（九）拟订农民工工作综合性政策和规划，推动农民工相关政策的落实，协调解决重点难点问题，维护农民工合法权益。</w:t>
      </w:r>
    </w:p>
    <w:p w14:paraId="0F0B2B3F">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十）统筹实施劳动、人事争议调解仲裁制度；拟订劳动关系政策，完善劳动关系协调机制；监督落实消除非法使用童工政策和女工、未成年工的特殊劳动保护政策；组织实施劳动监察，协调劳动者维权工作，依法查处重大案件。</w:t>
      </w:r>
    </w:p>
    <w:p w14:paraId="2C5EFCE4">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（十一）受理劳动、人事信访事项，协调处理有关劳动、人事方面的重大信访或突发事件。</w:t>
      </w:r>
    </w:p>
    <w:p w14:paraId="794FF1E3">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（十二）负责全市人力资源和社会保障方面的国际交流与合作工作。</w:t>
      </w:r>
    </w:p>
    <w:p w14:paraId="4F1F69A1">
      <w:pPr>
        <w:pStyle w:val="10"/>
        <w:widowControl/>
        <w:spacing w:line="620" w:lineRule="exact"/>
        <w:ind w:firstLine="627" w:firstLineChars="196"/>
        <w:contextualSpacing/>
        <w:rPr>
          <w:rFonts w:hint="eastAsia" w:ascii="仿宋" w:hAnsi="仿宋" w:eastAsia="仿宋"/>
          <w:bCs/>
          <w:kern w:val="0"/>
          <w:sz w:val="32"/>
          <w:szCs w:val="32"/>
          <w:highlight w:val="none"/>
          <w:lang w:val="en-US" w:eastAsia="zh-CN"/>
        </w:rPr>
      </w:pPr>
      <w:r>
        <w:rPr>
          <w:rFonts w:hint="eastAsia" w:ascii="仿宋" w:hAnsi="仿宋" w:eastAsia="仿宋"/>
          <w:bCs/>
          <w:kern w:val="0"/>
          <w:sz w:val="32"/>
          <w:szCs w:val="32"/>
          <w:highlight w:val="none"/>
          <w:lang w:val="en-US" w:eastAsia="zh-CN"/>
        </w:rPr>
        <w:t>（十三）承担主管行业领域的安全生产管理，指导督促企事业单位加强安全管理。依据有关法律、法规履行安全生产监督管理职责，开展监管执法工作等职责。</w:t>
      </w:r>
    </w:p>
    <w:p w14:paraId="520C293B">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highlight w:val="none"/>
          <w:lang w:val="en-US" w:eastAsia="zh-CN"/>
        </w:rPr>
        <w:t>（十四）完成市委、市政府交办的其他任务。</w:t>
      </w:r>
    </w:p>
    <w:p w14:paraId="0AA677CA">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rPr>
        <w:t>二、机构设置</w:t>
      </w:r>
    </w:p>
    <w:p w14:paraId="0AC38ED0">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机构设置包括：</w:t>
      </w:r>
      <w:r>
        <w:rPr>
          <w:rFonts w:hint="eastAsia" w:ascii="仿宋" w:hAnsi="仿宋" w:eastAsia="仿宋"/>
          <w:kern w:val="0"/>
          <w:szCs w:val="32"/>
          <w:highlight w:val="none"/>
          <w:lang w:val="en-US" w:eastAsia="zh-CN"/>
        </w:rPr>
        <w:t>行政办公室、规划财务审计科、事业单位人事管理科、专业技术人员管理科、事业单位工资福利科、养老保险科（行政审批办公室）、劳动就业科、工伤失业保险科（失业调控办公室、劳动鉴定委员会办公室）、争议仲裁科（劳动争议仲裁院、信访办公室、劳动监察科）、评比达标表彰办公室。</w:t>
      </w:r>
    </w:p>
    <w:p w14:paraId="68D16467">
      <w:pPr>
        <w:pStyle w:val="12"/>
        <w:ind w:firstLine="627" w:firstLineChars="196"/>
        <w:rPr>
          <w:rFonts w:hint="eastAsia"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20</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24</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14:paraId="54A5A5CB">
      <w:pPr>
        <w:pStyle w:val="12"/>
        <w:ind w:firstLine="627" w:firstLineChars="196"/>
        <w:rPr>
          <w:rFonts w:hint="eastAsia" w:ascii="仿宋" w:hAnsi="仿宋" w:eastAsia="仿宋"/>
          <w:kern w:val="0"/>
          <w:szCs w:val="32"/>
          <w:highlight w:val="none"/>
        </w:rPr>
      </w:pPr>
    </w:p>
    <w:p w14:paraId="301FED57">
      <w:pPr>
        <w:pStyle w:val="12"/>
        <w:ind w:firstLine="627" w:firstLineChars="196"/>
        <w:rPr>
          <w:rFonts w:hint="eastAsia" w:ascii="仿宋" w:hAnsi="仿宋" w:eastAsia="仿宋"/>
          <w:kern w:val="0"/>
          <w:szCs w:val="32"/>
          <w:highlight w:val="none"/>
        </w:rPr>
      </w:pPr>
    </w:p>
    <w:p w14:paraId="440EEE4E">
      <w:pPr>
        <w:pStyle w:val="12"/>
        <w:ind w:firstLine="627" w:firstLineChars="196"/>
        <w:rPr>
          <w:rFonts w:hint="eastAsia" w:ascii="仿宋" w:hAnsi="仿宋" w:eastAsia="仿宋"/>
          <w:kern w:val="0"/>
          <w:szCs w:val="32"/>
          <w:highlight w:val="none"/>
        </w:rPr>
      </w:pPr>
    </w:p>
    <w:p w14:paraId="4F5EC9C9">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245F752B">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6D847D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年收支预算总体情况</w:t>
      </w:r>
    </w:p>
    <w:p w14:paraId="41F9C657">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248.68</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263.83</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减少15.15</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人员减少，经费减少</w:t>
      </w:r>
      <w:r>
        <w:rPr>
          <w:rFonts w:hint="eastAsia" w:ascii="仿宋" w:hAnsi="仿宋" w:eastAsia="仿宋"/>
          <w:sz w:val="32"/>
          <w:szCs w:val="32"/>
          <w:highlight w:val="none"/>
          <w:lang w:eastAsia="zh-CN"/>
        </w:rPr>
        <w:t>。</w:t>
      </w:r>
    </w:p>
    <w:p w14:paraId="573A0256">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年收入预算情况</w:t>
      </w:r>
    </w:p>
    <w:p w14:paraId="4F48FC2A">
      <w:pPr>
        <w:pStyle w:val="11"/>
        <w:ind w:firstLine="640" w:firstLineChars="2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248.68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248.68万元，占100%；上年结转0万元，占0%。本年收入中，一般公共预算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248.68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0%；国有资本经营预算拨款收入0万元，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0%；其他收入0万元，占0%。</w:t>
      </w:r>
    </w:p>
    <w:p w14:paraId="18B7FA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年支出预算情况</w:t>
      </w:r>
    </w:p>
    <w:p w14:paraId="60A6506B">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248.68</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248.68</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lang w:eastAsia="zh-CN"/>
        </w:rPr>
        <w:t>%。</w:t>
      </w:r>
    </w:p>
    <w:p w14:paraId="1EB55866">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7C759182">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248.68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248.68万元，上年结转0万元。支出包括：</w:t>
      </w:r>
      <w:r>
        <w:rPr>
          <w:rFonts w:hint="eastAsia" w:ascii="仿宋" w:hAnsi="仿宋" w:eastAsia="仿宋"/>
          <w:sz w:val="32"/>
          <w:szCs w:val="32"/>
          <w:highlight w:val="none"/>
        </w:rPr>
        <w:t>社会保障和就业支出</w:t>
      </w:r>
      <w:r>
        <w:rPr>
          <w:rFonts w:hint="eastAsia" w:ascii="仿宋" w:hAnsi="仿宋" w:eastAsia="仿宋"/>
          <w:sz w:val="32"/>
          <w:szCs w:val="32"/>
          <w:highlight w:val="none"/>
          <w:lang w:val="en-US" w:eastAsia="zh-CN"/>
        </w:rPr>
        <w:t>216.45</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12.21</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20.01</w:t>
      </w:r>
      <w:r>
        <w:rPr>
          <w:rFonts w:hint="eastAsia" w:ascii="仿宋" w:hAnsi="仿宋" w:eastAsia="仿宋"/>
          <w:sz w:val="32"/>
          <w:szCs w:val="32"/>
          <w:highlight w:val="none"/>
        </w:rPr>
        <w:t>万元。</w:t>
      </w:r>
    </w:p>
    <w:p w14:paraId="69738522">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32C9C691">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248.68</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248.68</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100</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216.74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87.16</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31.94</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12.84</w:t>
      </w:r>
      <w:r>
        <w:rPr>
          <w:rFonts w:hint="eastAsia" w:ascii="仿宋" w:hAnsi="仿宋" w:eastAsia="仿宋"/>
          <w:sz w:val="32"/>
          <w:szCs w:val="32"/>
          <w:highlight w:val="none"/>
        </w:rPr>
        <w:t>%。</w:t>
      </w:r>
    </w:p>
    <w:p w14:paraId="3B2B3449">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社会保障和就业（类）支出216.45万元，占87.04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人员经费、公用经费。</w:t>
      </w:r>
    </w:p>
    <w:p w14:paraId="0EDB06C3">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卫生健康（类）支出12.21万元，占4.91</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职工养老保险费。</w:t>
      </w:r>
    </w:p>
    <w:p w14:paraId="76A9CC9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住房保障（类）支出20.01万元，占8.05*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职工住房公积金。</w:t>
      </w:r>
    </w:p>
    <w:p w14:paraId="39E2D860">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5EA64684">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2025年一般公共预算基本支出248.68万元，其中：</w:t>
      </w:r>
    </w:p>
    <w:p w14:paraId="0A48DC2A">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216.74</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机关事业单位基本养老保险缴费、职工基本医疗保险缴费、其他社会保障缴费、住房公积金</w:t>
      </w:r>
      <w:r>
        <w:rPr>
          <w:rFonts w:hint="eastAsia" w:ascii="仿宋" w:hAnsi="仿宋" w:eastAsia="仿宋"/>
          <w:sz w:val="32"/>
          <w:szCs w:val="32"/>
          <w:highlight w:val="none"/>
        </w:rPr>
        <w:t>；</w:t>
      </w:r>
    </w:p>
    <w:p w14:paraId="647BF668">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31.94</w:t>
      </w:r>
      <w:r>
        <w:rPr>
          <w:rFonts w:hint="eastAsia" w:ascii="仿宋" w:hAnsi="仿宋" w:eastAsia="仿宋"/>
          <w:sz w:val="32"/>
          <w:szCs w:val="32"/>
          <w:highlight w:val="none"/>
        </w:rPr>
        <w:t>万元，主要包括：办公费、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w:t>
      </w:r>
      <w:r>
        <w:rPr>
          <w:rFonts w:hint="eastAsia" w:ascii="仿宋" w:hAnsi="仿宋" w:eastAsia="仿宋"/>
          <w:sz w:val="32"/>
          <w:szCs w:val="32"/>
          <w:highlight w:val="none"/>
          <w:lang w:val="en-US" w:eastAsia="zh-CN"/>
        </w:rPr>
        <w:t>维修（护）费</w:t>
      </w:r>
      <w:r>
        <w:rPr>
          <w:rFonts w:hint="eastAsia" w:ascii="仿宋" w:hAnsi="仿宋" w:eastAsia="仿宋"/>
          <w:sz w:val="32"/>
          <w:szCs w:val="32"/>
          <w:highlight w:val="none"/>
        </w:rPr>
        <w:t>。</w:t>
      </w:r>
    </w:p>
    <w:p w14:paraId="24F343FA">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475D5BC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1.50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年预算数相同。其中：</w:t>
      </w:r>
    </w:p>
    <w:p w14:paraId="51930B52">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55C1F853">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1.50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r>
        <w:rPr>
          <w:rFonts w:hint="eastAsia" w:ascii="仿宋" w:hAnsi="仿宋" w:eastAsia="仿宋"/>
          <w:kern w:val="0"/>
          <w:sz w:val="32"/>
          <w:szCs w:val="32"/>
          <w:highlight w:val="none"/>
          <w:lang w:eastAsia="zh-CN"/>
        </w:rPr>
        <w:t>。</w:t>
      </w:r>
    </w:p>
    <w:p w14:paraId="78C2E709">
      <w:pPr>
        <w:pStyle w:val="9"/>
        <w:ind w:firstLine="640" w:firstLineChars="200"/>
        <w:rPr>
          <w:rFonts w:hint="eastAsia"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年预算数相同。其中，公务用车运行维护费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w:t>
      </w:r>
    </w:p>
    <w:p w14:paraId="19793D94">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3C66BA43">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E8B82">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5AC70B91">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2636BCCD">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bookmarkStart w:id="0" w:name="_GoBack"/>
      <w:bookmarkEnd w:id="0"/>
    </w:p>
    <w:p w14:paraId="00297343">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5AC5894E">
      <w:pPr>
        <w:pStyle w:val="8"/>
        <w:ind w:firstLine="640"/>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t>2025</w:t>
      </w:r>
      <w:r>
        <w:rPr>
          <w:rFonts w:hint="eastAsia" w:ascii="仿宋" w:hAnsi="仿宋" w:eastAsia="仿宋"/>
          <w:color w:val="auto"/>
          <w:sz w:val="32"/>
          <w:szCs w:val="32"/>
          <w:highlight w:val="none"/>
        </w:rPr>
        <w:t>年</w:t>
      </w:r>
      <w:r>
        <w:rPr>
          <w:rFonts w:hint="eastAsia" w:ascii="仿宋" w:hAnsi="仿宋" w:eastAsia="仿宋"/>
          <w:color w:val="auto"/>
          <w:sz w:val="32"/>
          <w:szCs w:val="32"/>
          <w:highlight w:val="none"/>
          <w:lang w:val="en-US" w:eastAsia="zh-CN"/>
        </w:rPr>
        <w:t>本单位的</w:t>
      </w:r>
      <w:r>
        <w:rPr>
          <w:rFonts w:hint="eastAsia" w:ascii="仿宋" w:hAnsi="仿宋" w:eastAsia="仿宋"/>
          <w:color w:val="auto"/>
          <w:sz w:val="32"/>
          <w:szCs w:val="32"/>
          <w:highlight w:val="none"/>
        </w:rPr>
        <w:t>机关运行经费财政拨款预算</w:t>
      </w:r>
      <w:r>
        <w:rPr>
          <w:rFonts w:hint="eastAsia" w:ascii="仿宋" w:hAnsi="仿宋" w:eastAsia="仿宋"/>
          <w:color w:val="auto"/>
          <w:sz w:val="32"/>
          <w:szCs w:val="32"/>
          <w:highlight w:val="none"/>
          <w:lang w:val="en-US" w:eastAsia="zh-CN"/>
        </w:rPr>
        <w:t>31.94</w:t>
      </w:r>
      <w:r>
        <w:rPr>
          <w:rFonts w:hint="eastAsia" w:ascii="仿宋" w:hAnsi="仿宋" w:eastAsia="仿宋"/>
          <w:color w:val="auto"/>
          <w:sz w:val="32"/>
          <w:szCs w:val="32"/>
          <w:highlight w:val="none"/>
        </w:rPr>
        <w:t xml:space="preserve">万元，比 </w:t>
      </w:r>
      <w:r>
        <w:rPr>
          <w:rFonts w:hint="eastAsia" w:ascii="仿宋" w:hAnsi="仿宋" w:eastAsia="仿宋"/>
          <w:color w:val="auto"/>
          <w:sz w:val="32"/>
          <w:szCs w:val="32"/>
          <w:highlight w:val="none"/>
          <w:lang w:eastAsia="zh-CN"/>
        </w:rPr>
        <w:t>2024</w:t>
      </w:r>
      <w:r>
        <w:rPr>
          <w:rFonts w:hint="eastAsia" w:ascii="仿宋" w:hAnsi="仿宋" w:eastAsia="仿宋"/>
          <w:color w:val="auto"/>
          <w:sz w:val="32"/>
          <w:szCs w:val="32"/>
          <w:highlight w:val="none"/>
        </w:rPr>
        <w:t>年预算</w:t>
      </w:r>
      <w:r>
        <w:rPr>
          <w:rFonts w:hint="eastAsia" w:ascii="仿宋" w:hAnsi="仿宋" w:eastAsia="仿宋"/>
          <w:color w:val="auto"/>
          <w:sz w:val="32"/>
          <w:szCs w:val="32"/>
          <w:highlight w:val="none"/>
          <w:lang w:val="en-US" w:eastAsia="zh-CN"/>
        </w:rPr>
        <w:t>减少1.78</w:t>
      </w:r>
      <w:r>
        <w:rPr>
          <w:rFonts w:hint="eastAsia" w:ascii="仿宋" w:hAnsi="仿宋" w:eastAsia="仿宋"/>
          <w:color w:val="auto"/>
          <w:sz w:val="32"/>
          <w:szCs w:val="32"/>
          <w:highlight w:val="none"/>
        </w:rPr>
        <w:t>万元，</w:t>
      </w:r>
      <w:r>
        <w:rPr>
          <w:rFonts w:hint="eastAsia" w:ascii="仿宋" w:hAnsi="仿宋" w:eastAsia="仿宋"/>
          <w:color w:val="auto"/>
          <w:sz w:val="32"/>
          <w:szCs w:val="32"/>
          <w:highlight w:val="none"/>
          <w:lang w:val="en-US" w:eastAsia="zh-CN"/>
        </w:rPr>
        <w:t>减少5.28</w:t>
      </w:r>
      <w:r>
        <w:rPr>
          <w:rFonts w:hint="eastAsia" w:ascii="仿宋" w:hAnsi="仿宋" w:eastAsia="仿宋"/>
          <w:color w:val="auto"/>
          <w:sz w:val="32"/>
          <w:szCs w:val="32"/>
          <w:highlight w:val="none"/>
        </w:rPr>
        <w:t>%，主要原因是</w:t>
      </w:r>
      <w:r>
        <w:rPr>
          <w:rFonts w:hint="eastAsia" w:ascii="仿宋" w:hAnsi="仿宋" w:eastAsia="仿宋"/>
          <w:color w:val="auto"/>
          <w:sz w:val="32"/>
          <w:szCs w:val="32"/>
          <w:highlight w:val="none"/>
          <w:lang w:val="en-US" w:eastAsia="zh-CN"/>
        </w:rPr>
        <w:t>人员减少，经费减少</w:t>
      </w:r>
      <w:r>
        <w:rPr>
          <w:rFonts w:hint="eastAsia" w:ascii="仿宋" w:hAnsi="仿宋" w:eastAsia="仿宋"/>
          <w:color w:val="auto"/>
          <w:sz w:val="32"/>
          <w:szCs w:val="32"/>
          <w:highlight w:val="none"/>
          <w:lang w:eastAsia="zh-CN"/>
        </w:rPr>
        <w:t>。</w:t>
      </w:r>
    </w:p>
    <w:p w14:paraId="508469CD">
      <w:pPr>
        <w:pStyle w:val="8"/>
        <w:numPr>
          <w:ilvl w:val="0"/>
          <w:numId w:val="0"/>
        </w:numPr>
        <w:ind w:firstLine="640" w:firstLineChars="200"/>
        <w:rPr>
          <w:rFonts w:hint="eastAsia" w:ascii="仿宋" w:hAnsi="仿宋" w:eastAsia="仿宋"/>
          <w:sz w:val="32"/>
          <w:szCs w:val="32"/>
          <w:highlight w:val="none"/>
          <w:lang w:val="en-US" w:eastAsia="zh-CN"/>
        </w:rPr>
      </w:pPr>
      <w:r>
        <w:rPr>
          <w:rFonts w:hint="eastAsia" w:ascii="楷体" w:hAnsi="楷体" w:eastAsia="楷体" w:cs="楷体"/>
          <w:kern w:val="2"/>
          <w:sz w:val="32"/>
          <w:szCs w:val="32"/>
          <w:highlight w:val="none"/>
          <w:lang w:val="en-US" w:eastAsia="zh-CN" w:bidi="ar-SA"/>
        </w:rPr>
        <w:t>（二）委托业务费</w:t>
      </w:r>
    </w:p>
    <w:p w14:paraId="79A7F3B4">
      <w:pPr>
        <w:pStyle w:val="8"/>
        <w:numPr>
          <w:ilvl w:val="0"/>
          <w:numId w:val="0"/>
        </w:numPr>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 xml:space="preserve">    </w:t>
      </w:r>
      <w:r>
        <w:rPr>
          <w:rFonts w:hint="eastAsia" w:ascii="仿宋" w:hAnsi="仿宋" w:eastAsia="仿宋"/>
          <w:kern w:val="0"/>
          <w:sz w:val="32"/>
          <w:szCs w:val="32"/>
          <w:highlight w:val="none"/>
          <w:lang w:eastAsia="zh-CN"/>
        </w:rPr>
        <w:t>2025</w:t>
      </w:r>
      <w:r>
        <w:rPr>
          <w:rFonts w:hint="eastAsia" w:ascii="仿宋" w:hAnsi="仿宋" w:eastAsia="仿宋"/>
          <w:kern w:val="0"/>
          <w:sz w:val="32"/>
          <w:szCs w:val="32"/>
          <w:highlight w:val="none"/>
        </w:rPr>
        <w:t>年</w:t>
      </w:r>
      <w:r>
        <w:rPr>
          <w:rFonts w:hint="eastAsia" w:ascii="仿宋" w:hAnsi="仿宋" w:eastAsia="仿宋"/>
          <w:kern w:val="0"/>
          <w:sz w:val="32"/>
          <w:szCs w:val="32"/>
          <w:highlight w:val="none"/>
          <w:lang w:eastAsia="zh-CN"/>
        </w:rPr>
        <w:t>委托业务费</w:t>
      </w:r>
      <w:r>
        <w:rPr>
          <w:rFonts w:hint="eastAsia" w:ascii="仿宋" w:hAnsi="仿宋" w:eastAsia="仿宋"/>
          <w:kern w:val="0"/>
          <w:sz w:val="32"/>
          <w:szCs w:val="32"/>
          <w:highlight w:val="none"/>
        </w:rPr>
        <w:t>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万元，与 </w:t>
      </w:r>
      <w:r>
        <w:rPr>
          <w:rFonts w:hint="eastAsia" w:ascii="仿宋" w:hAnsi="仿宋" w:eastAsia="仿宋"/>
          <w:kern w:val="0"/>
          <w:sz w:val="32"/>
          <w:szCs w:val="32"/>
          <w:highlight w:val="none"/>
          <w:lang w:eastAsia="zh-CN"/>
        </w:rPr>
        <w:t>2024</w:t>
      </w:r>
      <w:r>
        <w:rPr>
          <w:rFonts w:hint="eastAsia" w:ascii="仿宋" w:hAnsi="仿宋" w:eastAsia="仿宋"/>
          <w:kern w:val="0"/>
          <w:sz w:val="32"/>
          <w:szCs w:val="32"/>
          <w:highlight w:val="none"/>
        </w:rPr>
        <w:t>年预算数相同。</w:t>
      </w:r>
    </w:p>
    <w:p w14:paraId="731FCE4E">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（三）</w:t>
      </w:r>
      <w:r>
        <w:rPr>
          <w:rFonts w:hint="eastAsia" w:ascii="楷体" w:hAnsi="楷体" w:eastAsia="楷体"/>
          <w:sz w:val="32"/>
          <w:szCs w:val="32"/>
          <w:highlight w:val="none"/>
        </w:rPr>
        <w:t>政府采购情况</w:t>
      </w:r>
    </w:p>
    <w:p w14:paraId="448ECA0F">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34275A39">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（四）</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23F695B6">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w:t>
      </w:r>
      <w:r>
        <w:rPr>
          <w:rFonts w:hint="eastAsia" w:ascii="仿宋" w:hAnsi="仿宋" w:eastAsia="仿宋"/>
          <w:sz w:val="32"/>
          <w:szCs w:val="32"/>
          <w:highlight w:val="none"/>
          <w:lang w:val="en-US" w:eastAsia="zh-CN"/>
        </w:rPr>
        <w:t>本</w:t>
      </w:r>
      <w:r>
        <w:rPr>
          <w:rFonts w:hint="eastAsia" w:ascii="仿宋" w:hAnsi="仿宋" w:eastAsia="仿宋"/>
          <w:sz w:val="32"/>
          <w:szCs w:val="32"/>
          <w:highlight w:val="none"/>
        </w:rPr>
        <w:t>单位共有车辆</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 xml:space="preserve"> 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04C90835">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单位</w:t>
      </w:r>
      <w:r>
        <w:rPr>
          <w:rFonts w:hint="eastAsia" w:ascii="仿宋" w:hAnsi="仿宋" w:eastAsia="仿宋"/>
          <w:sz w:val="32"/>
          <w:szCs w:val="32"/>
          <w:highlight w:val="none"/>
        </w:rPr>
        <w:t>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77621D1F">
      <w:pPr>
        <w:numPr>
          <w:ilvl w:val="0"/>
          <w:numId w:val="0"/>
        </w:num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（五）</w:t>
      </w: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5078CBB1">
      <w:pPr>
        <w:jc w:val="left"/>
        <w:rPr>
          <w:rFonts w:hint="eastAsia" w:ascii="仿宋" w:hAnsi="仿宋" w:eastAsia="仿宋"/>
          <w:color w:val="auto"/>
          <w:sz w:val="32"/>
          <w:szCs w:val="32"/>
          <w:highlight w:val="none"/>
          <w:lang w:val="en-US" w:eastAsia="zh-CN"/>
        </w:rPr>
      </w:pPr>
      <w:r>
        <w:rPr>
          <w:rFonts w:hint="eastAsia" w:ascii="仿宋" w:hAnsi="仿宋" w:eastAsia="仿宋"/>
          <w:sz w:val="32"/>
          <w:szCs w:val="32"/>
          <w:highlight w:val="none"/>
        </w:rPr>
        <w:t xml:space="preserve">    </w:t>
      </w:r>
      <w:r>
        <w:rPr>
          <w:rFonts w:hint="eastAsia" w:ascii="仿宋" w:hAnsi="仿宋" w:eastAsia="仿宋"/>
          <w:color w:val="auto"/>
          <w:sz w:val="32"/>
          <w:szCs w:val="32"/>
          <w:highlight w:val="none"/>
        </w:rPr>
        <w:t>按照全面实施预算绩效管理的要求，结合本</w:t>
      </w:r>
      <w:r>
        <w:rPr>
          <w:rFonts w:hint="eastAsia" w:ascii="仿宋" w:hAnsi="仿宋" w:eastAsia="仿宋"/>
          <w:color w:val="auto"/>
          <w:sz w:val="32"/>
          <w:szCs w:val="32"/>
          <w:highlight w:val="none"/>
          <w:lang w:val="en-US" w:eastAsia="zh-CN"/>
        </w:rPr>
        <w:t>单位</w:t>
      </w:r>
      <w:r>
        <w:rPr>
          <w:rFonts w:hint="eastAsia" w:ascii="仿宋" w:hAnsi="仿宋" w:eastAsia="仿宋"/>
          <w:color w:val="auto"/>
          <w:sz w:val="32"/>
          <w:szCs w:val="32"/>
          <w:highlight w:val="none"/>
        </w:rPr>
        <w:t>职能和重点工作，</w:t>
      </w:r>
      <w:r>
        <w:rPr>
          <w:rFonts w:hint="eastAsia" w:ascii="仿宋" w:hAnsi="仿宋" w:eastAsia="仿宋"/>
          <w:color w:val="auto"/>
          <w:sz w:val="32"/>
          <w:szCs w:val="32"/>
          <w:highlight w:val="none"/>
          <w:lang w:eastAsia="zh-CN"/>
        </w:rPr>
        <w:t>2025</w:t>
      </w:r>
      <w:r>
        <w:rPr>
          <w:rFonts w:hint="eastAsia" w:ascii="仿宋" w:hAnsi="仿宋" w:eastAsia="仿宋"/>
          <w:color w:val="auto"/>
          <w:sz w:val="32"/>
          <w:szCs w:val="32"/>
          <w:highlight w:val="none"/>
        </w:rPr>
        <w:t>年确定</w:t>
      </w:r>
      <w:r>
        <w:rPr>
          <w:rFonts w:hint="eastAsia" w:ascii="仿宋" w:hAnsi="仿宋" w:eastAsia="仿宋"/>
          <w:color w:val="auto"/>
          <w:sz w:val="32"/>
          <w:szCs w:val="32"/>
          <w:highlight w:val="none"/>
          <w:lang w:val="en-US" w:eastAsia="zh-CN"/>
        </w:rPr>
        <w:t>1</w:t>
      </w:r>
      <w:r>
        <w:rPr>
          <w:rFonts w:hint="eastAsia" w:ascii="仿宋" w:hAnsi="仿宋" w:eastAsia="仿宋"/>
          <w:color w:val="auto"/>
          <w:sz w:val="32"/>
          <w:szCs w:val="32"/>
          <w:highlight w:val="none"/>
        </w:rPr>
        <w:t>个部门本级预算项目，涉及金额</w:t>
      </w:r>
      <w:r>
        <w:rPr>
          <w:rFonts w:hint="eastAsia" w:ascii="仿宋" w:hAnsi="仿宋" w:eastAsia="仿宋"/>
          <w:color w:val="auto"/>
          <w:sz w:val="32"/>
          <w:szCs w:val="32"/>
          <w:highlight w:val="none"/>
          <w:lang w:val="en-US" w:eastAsia="zh-CN"/>
        </w:rPr>
        <w:t>50.88</w:t>
      </w:r>
      <w:r>
        <w:rPr>
          <w:rFonts w:hint="eastAsia" w:ascii="仿宋" w:hAnsi="仿宋" w:eastAsia="仿宋"/>
          <w:color w:val="auto"/>
          <w:sz w:val="32"/>
          <w:szCs w:val="32"/>
          <w:highlight w:val="none"/>
        </w:rPr>
        <w:t>万元，项目内容为</w:t>
      </w:r>
      <w:r>
        <w:rPr>
          <w:rFonts w:hint="eastAsia" w:ascii="仿宋" w:hAnsi="仿宋" w:eastAsia="仿宋"/>
          <w:color w:val="auto"/>
          <w:sz w:val="32"/>
          <w:szCs w:val="32"/>
          <w:highlight w:val="none"/>
          <w:lang w:val="en-US" w:eastAsia="zh-CN"/>
        </w:rPr>
        <w:t>三支一扶大学生补助，</w:t>
      </w:r>
      <w:r>
        <w:rPr>
          <w:rFonts w:hint="eastAsia" w:ascii="仿宋" w:hAnsi="仿宋" w:eastAsia="仿宋"/>
          <w:color w:val="auto"/>
          <w:sz w:val="32"/>
          <w:szCs w:val="32"/>
          <w:highlight w:val="none"/>
        </w:rPr>
        <w:t>主要目标为扶持就业创业，促进就业创业开展；实施“三支一扶”项目，鼓励高校毕业生到基层就业。同时，将预算项目绩效目标进一步细化为绩效指标和指标值（附预算项目绩效目标申报表</w:t>
      </w:r>
      <w:r>
        <w:rPr>
          <w:rFonts w:hint="eastAsia" w:ascii="仿宋" w:hAnsi="仿宋" w:eastAsia="仿宋"/>
          <w:color w:val="auto"/>
          <w:sz w:val="32"/>
          <w:szCs w:val="32"/>
          <w:highlight w:val="none"/>
          <w:lang w:eastAsia="zh-CN"/>
        </w:rPr>
        <w:t>）。</w:t>
      </w:r>
    </w:p>
    <w:p w14:paraId="4A6163DA">
      <w:pPr>
        <w:jc w:val="left"/>
        <w:rPr>
          <w:rFonts w:ascii="仿宋" w:hAnsi="仿宋" w:eastAsia="仿宋"/>
          <w:sz w:val="32"/>
          <w:szCs w:val="32"/>
          <w:highlight w:val="none"/>
        </w:rPr>
      </w:pPr>
    </w:p>
    <w:p w14:paraId="5A892F7A">
      <w:pPr>
        <w:jc w:val="left"/>
        <w:rPr>
          <w:rFonts w:ascii="仿宋" w:hAnsi="仿宋" w:eastAsia="仿宋"/>
          <w:sz w:val="32"/>
          <w:szCs w:val="32"/>
          <w:highlight w:val="none"/>
        </w:rPr>
      </w:pPr>
    </w:p>
    <w:p w14:paraId="3C3403D9">
      <w:pPr>
        <w:jc w:val="left"/>
        <w:rPr>
          <w:rFonts w:ascii="仿宋" w:hAnsi="仿宋" w:eastAsia="仿宋"/>
          <w:sz w:val="32"/>
          <w:szCs w:val="32"/>
          <w:highlight w:val="none"/>
        </w:rPr>
      </w:pPr>
    </w:p>
    <w:p w14:paraId="10F56285">
      <w:pPr>
        <w:jc w:val="left"/>
        <w:rPr>
          <w:rFonts w:ascii="仿宋" w:hAnsi="仿宋" w:eastAsia="仿宋"/>
          <w:sz w:val="32"/>
          <w:szCs w:val="32"/>
          <w:highlight w:val="none"/>
        </w:rPr>
      </w:pPr>
    </w:p>
    <w:p w14:paraId="139BB257">
      <w:pPr>
        <w:jc w:val="left"/>
        <w:rPr>
          <w:rFonts w:ascii="仿宋" w:hAnsi="仿宋" w:eastAsia="仿宋"/>
          <w:sz w:val="32"/>
          <w:szCs w:val="32"/>
          <w:highlight w:val="none"/>
        </w:rPr>
      </w:pPr>
    </w:p>
    <w:p w14:paraId="763F0B05">
      <w:pPr>
        <w:jc w:val="left"/>
        <w:rPr>
          <w:rFonts w:ascii="仿宋" w:hAnsi="仿宋" w:eastAsia="仿宋"/>
          <w:sz w:val="32"/>
          <w:szCs w:val="32"/>
          <w:highlight w:val="none"/>
        </w:rPr>
      </w:pPr>
    </w:p>
    <w:p w14:paraId="368AEEF2">
      <w:pPr>
        <w:jc w:val="left"/>
        <w:rPr>
          <w:rFonts w:ascii="仿宋" w:hAnsi="仿宋" w:eastAsia="仿宋"/>
          <w:sz w:val="32"/>
          <w:szCs w:val="32"/>
          <w:highlight w:val="none"/>
        </w:rPr>
      </w:pPr>
    </w:p>
    <w:p w14:paraId="698AE213">
      <w:pPr>
        <w:jc w:val="left"/>
        <w:rPr>
          <w:rFonts w:ascii="仿宋" w:hAnsi="仿宋" w:eastAsia="仿宋"/>
          <w:sz w:val="32"/>
          <w:szCs w:val="32"/>
          <w:highlight w:val="none"/>
        </w:rPr>
      </w:pPr>
    </w:p>
    <w:p w14:paraId="6ADC014B">
      <w:pPr>
        <w:jc w:val="left"/>
        <w:rPr>
          <w:rFonts w:ascii="仿宋" w:hAnsi="仿宋" w:eastAsia="仿宋"/>
          <w:sz w:val="32"/>
          <w:szCs w:val="32"/>
          <w:highlight w:val="none"/>
        </w:rPr>
      </w:pPr>
    </w:p>
    <w:p w14:paraId="06C343FB">
      <w:pPr>
        <w:jc w:val="center"/>
        <w:rPr>
          <w:rFonts w:ascii="仿宋" w:hAnsi="仿宋" w:eastAsia="仿宋"/>
          <w:sz w:val="32"/>
          <w:szCs w:val="32"/>
          <w:highlight w:val="none"/>
        </w:rPr>
      </w:pPr>
    </w:p>
    <w:p w14:paraId="3EA810D1">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DC8B0CC">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D7923AC">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32B6D0BA">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5F8F787F">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B630F05">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75B2F5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79B177A2">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7541B1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5127C7B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B62739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C83AAC6">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734ABCB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CF2511D">
      <w:pPr>
        <w:ind w:firstLine="640" w:firstLineChars="200"/>
        <w:rPr>
          <w:rFonts w:ascii="仿宋_GB2312" w:eastAsia="仿宋_GB2312"/>
          <w:sz w:val="32"/>
          <w:szCs w:val="32"/>
          <w:highlight w:val="none"/>
        </w:rPr>
      </w:pPr>
    </w:p>
    <w:p w14:paraId="2DC7A51E">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2D225FF5">
      <w:pPr>
        <w:jc w:val="left"/>
        <w:rPr>
          <w:rFonts w:ascii="仿宋" w:hAnsi="仿宋" w:eastAsia="仿宋"/>
          <w:sz w:val="32"/>
          <w:szCs w:val="32"/>
          <w:highlight w:val="none"/>
        </w:rPr>
      </w:pPr>
    </w:p>
    <w:p w14:paraId="01DDDD78">
      <w:pPr>
        <w:jc w:val="left"/>
        <w:rPr>
          <w:rFonts w:ascii="仿宋" w:hAnsi="仿宋" w:eastAsia="仿宋"/>
          <w:sz w:val="32"/>
          <w:szCs w:val="32"/>
          <w:highlight w:val="none"/>
        </w:rPr>
      </w:pPr>
    </w:p>
    <w:p w14:paraId="1478B078">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78B71FB3">
      <w:pPr>
        <w:ind w:firstLine="640" w:firstLineChars="200"/>
        <w:jc w:val="left"/>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单位</w:t>
      </w:r>
      <w:r>
        <w:rPr>
          <w:rFonts w:hint="eastAsia" w:ascii="仿宋" w:hAnsi="仿宋" w:eastAsia="仿宋"/>
          <w:sz w:val="32"/>
          <w:szCs w:val="32"/>
          <w:highlight w:val="none"/>
        </w:rPr>
        <w:t>预算表套表（</w:t>
      </w:r>
      <w:r>
        <w:rPr>
          <w:rFonts w:hint="eastAsia" w:ascii="仿宋" w:hAnsi="仿宋" w:eastAsia="仿宋"/>
          <w:sz w:val="32"/>
          <w:szCs w:val="32"/>
          <w:highlight w:val="none"/>
          <w:lang w:val="en-US" w:eastAsia="zh-CN"/>
        </w:rPr>
        <w:t>见附表</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p>
    <w:p w14:paraId="7E1E6C31">
      <w:pPr>
        <w:rPr>
          <w:rFonts w:ascii="仿宋" w:hAnsi="仿宋" w:eastAsia="仿宋"/>
          <w:b/>
          <w:color w:val="auto"/>
          <w:sz w:val="32"/>
          <w:szCs w:val="32"/>
          <w:highlight w:val="none"/>
        </w:rPr>
      </w:pP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2">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34968DF"/>
    <w:rsid w:val="03A72764"/>
    <w:rsid w:val="03D7309C"/>
    <w:rsid w:val="03F248D4"/>
    <w:rsid w:val="05810D93"/>
    <w:rsid w:val="07C71E05"/>
    <w:rsid w:val="07D90070"/>
    <w:rsid w:val="08AB4E3F"/>
    <w:rsid w:val="0A450E4E"/>
    <w:rsid w:val="0A7F599D"/>
    <w:rsid w:val="0B4115AF"/>
    <w:rsid w:val="0C633590"/>
    <w:rsid w:val="0C7C5D37"/>
    <w:rsid w:val="0D0F40E1"/>
    <w:rsid w:val="0D896A37"/>
    <w:rsid w:val="0E0E4A27"/>
    <w:rsid w:val="0E235FAD"/>
    <w:rsid w:val="0E933B6E"/>
    <w:rsid w:val="0F4C4086"/>
    <w:rsid w:val="1045758D"/>
    <w:rsid w:val="10D9450A"/>
    <w:rsid w:val="112B3A0C"/>
    <w:rsid w:val="117169F8"/>
    <w:rsid w:val="11DF6BD5"/>
    <w:rsid w:val="12C62CA4"/>
    <w:rsid w:val="13877EBC"/>
    <w:rsid w:val="14AD4AC9"/>
    <w:rsid w:val="15DA5399"/>
    <w:rsid w:val="161F262E"/>
    <w:rsid w:val="187E3884"/>
    <w:rsid w:val="18A230A3"/>
    <w:rsid w:val="18C15C1F"/>
    <w:rsid w:val="18F97B94"/>
    <w:rsid w:val="191A0446"/>
    <w:rsid w:val="1B4A363A"/>
    <w:rsid w:val="1BC526EF"/>
    <w:rsid w:val="1C882350"/>
    <w:rsid w:val="1CDC1A5B"/>
    <w:rsid w:val="1E78177F"/>
    <w:rsid w:val="1F451F7A"/>
    <w:rsid w:val="1F530B6C"/>
    <w:rsid w:val="1FFB4DF8"/>
    <w:rsid w:val="20EF71F1"/>
    <w:rsid w:val="22AF6AE8"/>
    <w:rsid w:val="2323212D"/>
    <w:rsid w:val="23FA4ECF"/>
    <w:rsid w:val="250833CB"/>
    <w:rsid w:val="2527010D"/>
    <w:rsid w:val="26DC2BFA"/>
    <w:rsid w:val="27063D31"/>
    <w:rsid w:val="27742DDB"/>
    <w:rsid w:val="27747EDE"/>
    <w:rsid w:val="277B13CF"/>
    <w:rsid w:val="27F84A8D"/>
    <w:rsid w:val="28212236"/>
    <w:rsid w:val="285B5D80"/>
    <w:rsid w:val="28753BF0"/>
    <w:rsid w:val="28AA47B7"/>
    <w:rsid w:val="28CB641B"/>
    <w:rsid w:val="29207EE3"/>
    <w:rsid w:val="2AC832F5"/>
    <w:rsid w:val="2ADC2444"/>
    <w:rsid w:val="2C785E93"/>
    <w:rsid w:val="2D742D12"/>
    <w:rsid w:val="2E3342C6"/>
    <w:rsid w:val="30DF5CBE"/>
    <w:rsid w:val="344D4C9B"/>
    <w:rsid w:val="34A905DD"/>
    <w:rsid w:val="36273D08"/>
    <w:rsid w:val="37361A0B"/>
    <w:rsid w:val="381B0A50"/>
    <w:rsid w:val="382316B2"/>
    <w:rsid w:val="38253B59"/>
    <w:rsid w:val="385B501F"/>
    <w:rsid w:val="38DE30B8"/>
    <w:rsid w:val="39284901"/>
    <w:rsid w:val="394144E6"/>
    <w:rsid w:val="3A482539"/>
    <w:rsid w:val="3A915046"/>
    <w:rsid w:val="3C4C15D1"/>
    <w:rsid w:val="3CEA5A8A"/>
    <w:rsid w:val="3D897F97"/>
    <w:rsid w:val="3DA7578C"/>
    <w:rsid w:val="3DA908AC"/>
    <w:rsid w:val="3F597259"/>
    <w:rsid w:val="3F6B774D"/>
    <w:rsid w:val="3F8F587F"/>
    <w:rsid w:val="41C31810"/>
    <w:rsid w:val="42202CED"/>
    <w:rsid w:val="426F369B"/>
    <w:rsid w:val="430260DD"/>
    <w:rsid w:val="43811983"/>
    <w:rsid w:val="442476FC"/>
    <w:rsid w:val="442F01B5"/>
    <w:rsid w:val="455E1F7C"/>
    <w:rsid w:val="464C6278"/>
    <w:rsid w:val="46C17DAD"/>
    <w:rsid w:val="46F64D5D"/>
    <w:rsid w:val="49B81F53"/>
    <w:rsid w:val="4AAC7860"/>
    <w:rsid w:val="4BD25472"/>
    <w:rsid w:val="4CDA2830"/>
    <w:rsid w:val="4D0265B8"/>
    <w:rsid w:val="4D8021B9"/>
    <w:rsid w:val="4DFF6777"/>
    <w:rsid w:val="4EB752BA"/>
    <w:rsid w:val="4ED6365B"/>
    <w:rsid w:val="4F5E1E42"/>
    <w:rsid w:val="4F735000"/>
    <w:rsid w:val="4FC13833"/>
    <w:rsid w:val="50F75E7E"/>
    <w:rsid w:val="51436F0F"/>
    <w:rsid w:val="51BB428B"/>
    <w:rsid w:val="52DF1D28"/>
    <w:rsid w:val="53360094"/>
    <w:rsid w:val="53A4083B"/>
    <w:rsid w:val="54923E8D"/>
    <w:rsid w:val="54941844"/>
    <w:rsid w:val="5538455E"/>
    <w:rsid w:val="55DE0CCF"/>
    <w:rsid w:val="567F658B"/>
    <w:rsid w:val="56A94595"/>
    <w:rsid w:val="56B86102"/>
    <w:rsid w:val="56FB1D20"/>
    <w:rsid w:val="580A299B"/>
    <w:rsid w:val="58330B85"/>
    <w:rsid w:val="598A2EE8"/>
    <w:rsid w:val="59C56616"/>
    <w:rsid w:val="5B5D76B7"/>
    <w:rsid w:val="5B8E44C5"/>
    <w:rsid w:val="5C982767"/>
    <w:rsid w:val="5CD80EBE"/>
    <w:rsid w:val="5CFA751D"/>
    <w:rsid w:val="5D6D6DA8"/>
    <w:rsid w:val="5DB8541C"/>
    <w:rsid w:val="5DF11787"/>
    <w:rsid w:val="5E221344"/>
    <w:rsid w:val="5E32788E"/>
    <w:rsid w:val="5E343D6A"/>
    <w:rsid w:val="5EDA66BF"/>
    <w:rsid w:val="5FB128C2"/>
    <w:rsid w:val="5FED10F1"/>
    <w:rsid w:val="60731B65"/>
    <w:rsid w:val="60D4713E"/>
    <w:rsid w:val="60D72763"/>
    <w:rsid w:val="61525EF8"/>
    <w:rsid w:val="619C1A0A"/>
    <w:rsid w:val="62B666A5"/>
    <w:rsid w:val="62E15FE9"/>
    <w:rsid w:val="65255B39"/>
    <w:rsid w:val="659C7B1A"/>
    <w:rsid w:val="65B433A9"/>
    <w:rsid w:val="65E847CC"/>
    <w:rsid w:val="66FD0891"/>
    <w:rsid w:val="67286561"/>
    <w:rsid w:val="672901E4"/>
    <w:rsid w:val="673B1AAA"/>
    <w:rsid w:val="691F508E"/>
    <w:rsid w:val="6A340295"/>
    <w:rsid w:val="6A5666B8"/>
    <w:rsid w:val="6C626D3D"/>
    <w:rsid w:val="6DF0400D"/>
    <w:rsid w:val="6E5B22F8"/>
    <w:rsid w:val="6EB92B57"/>
    <w:rsid w:val="6FD902CD"/>
    <w:rsid w:val="70EF2762"/>
    <w:rsid w:val="71201EF9"/>
    <w:rsid w:val="716A4279"/>
    <w:rsid w:val="716F5053"/>
    <w:rsid w:val="71D91536"/>
    <w:rsid w:val="729E55FD"/>
    <w:rsid w:val="73D62900"/>
    <w:rsid w:val="73FA7C77"/>
    <w:rsid w:val="744F0BEE"/>
    <w:rsid w:val="74A215D5"/>
    <w:rsid w:val="74A55A8E"/>
    <w:rsid w:val="75263FB5"/>
    <w:rsid w:val="7539654A"/>
    <w:rsid w:val="755521A4"/>
    <w:rsid w:val="75836739"/>
    <w:rsid w:val="75916F41"/>
    <w:rsid w:val="76C753DE"/>
    <w:rsid w:val="76C775D8"/>
    <w:rsid w:val="77FC6956"/>
    <w:rsid w:val="7A64282A"/>
    <w:rsid w:val="7A8D6ADA"/>
    <w:rsid w:val="7BB3231A"/>
    <w:rsid w:val="7C122B9D"/>
    <w:rsid w:val="7C8E388C"/>
    <w:rsid w:val="7CD763A1"/>
    <w:rsid w:val="7CE309DD"/>
    <w:rsid w:val="7DB366E4"/>
    <w:rsid w:val="7E3B2C6B"/>
    <w:rsid w:val="7E492DA2"/>
    <w:rsid w:val="7EF944E8"/>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3740</Words>
  <Characters>4019</Characters>
  <Lines>19</Lines>
  <Paragraphs>5</Paragraphs>
  <TotalTime>11</TotalTime>
  <ScaleCrop>false</ScaleCrop>
  <LinksUpToDate>false</LinksUpToDate>
  <CharactersWithSpaces>4098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短发小高个儿</cp:lastModifiedBy>
  <cp:lastPrinted>2025-01-16T02:00:00Z</cp:lastPrinted>
  <dcterms:modified xsi:type="dcterms:W3CDTF">2025-01-21T05:18:14Z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015E53AB75C04A42A540DA5266089B66</vt:lpwstr>
  </property>
  <property fmtid="{D5CDD505-2E9C-101B-9397-08002B2CF9AE}" pid="4" name="KSOTemplateDocerSaveRecord">
    <vt:lpwstr>eyJoZGlkIjoiNDFkMDJkMDc4MjFkMDJjMDQzMzA3N2RhMGZiNTY0NDIiLCJ1c2VySWQiOiI5NTMyOTgxMDYifQ==</vt:lpwstr>
  </property>
</Properties>
</file>