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蛟河市软环境监督员监测点招募公告</w:t>
      </w:r>
    </w:p>
    <w:p>
      <w:pP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rPr>
      </w:pPr>
      <w:r>
        <w:rPr>
          <w:rFonts w:hint="eastAsia" w:ascii="仿宋_GB2312" w:hAnsi="仿宋_GB2312" w:eastAsia="仿宋_GB2312" w:cs="仿宋_GB2312"/>
          <w:color w:val="auto"/>
          <w:sz w:val="34"/>
          <w:szCs w:val="34"/>
        </w:rPr>
        <w:t>为进一步</w:t>
      </w:r>
      <w:r>
        <w:rPr>
          <w:rFonts w:hint="eastAsia" w:ascii="仿宋_GB2312" w:hAnsi="仿宋_GB2312" w:eastAsia="仿宋_GB2312" w:cs="仿宋_GB2312"/>
          <w:color w:val="auto"/>
          <w:sz w:val="34"/>
          <w:szCs w:val="34"/>
          <w:lang w:eastAsia="zh-CN"/>
        </w:rPr>
        <w:t>营造良好的营商环境</w:t>
      </w:r>
      <w:r>
        <w:rPr>
          <w:rFonts w:hint="eastAsia" w:ascii="仿宋_GB2312" w:hAnsi="仿宋_GB2312" w:eastAsia="仿宋_GB2312" w:cs="仿宋_GB2312"/>
          <w:color w:val="auto"/>
          <w:sz w:val="34"/>
          <w:szCs w:val="34"/>
        </w:rPr>
        <w:t>，</w:t>
      </w:r>
      <w:r>
        <w:rPr>
          <w:rFonts w:hint="eastAsia" w:ascii="仿宋_GB2312" w:hAnsi="仿宋_GB2312" w:eastAsia="仿宋_GB2312" w:cs="仿宋_GB2312"/>
          <w:color w:val="auto"/>
          <w:sz w:val="34"/>
          <w:szCs w:val="34"/>
          <w:lang w:eastAsia="zh-CN"/>
        </w:rPr>
        <w:t>推动软环境监督工作的</w:t>
      </w:r>
      <w:r>
        <w:rPr>
          <w:rFonts w:hint="eastAsia" w:ascii="仿宋_GB2312" w:hAnsi="仿宋_GB2312" w:eastAsia="仿宋_GB2312" w:cs="仿宋_GB2312"/>
          <w:color w:val="auto"/>
          <w:sz w:val="34"/>
          <w:szCs w:val="34"/>
        </w:rPr>
        <w:t>持续改善，充分发挥民主监督、社会监督作用</w:t>
      </w:r>
      <w:r>
        <w:rPr>
          <w:rFonts w:hint="eastAsia" w:ascii="仿宋_GB2312" w:hAnsi="仿宋_GB2312" w:eastAsia="仿宋_GB2312" w:cs="仿宋_GB2312"/>
          <w:color w:val="auto"/>
          <w:sz w:val="34"/>
          <w:szCs w:val="34"/>
          <w:lang w:eastAsia="zh-CN"/>
        </w:rPr>
        <w:t>。</w:t>
      </w:r>
      <w:r>
        <w:rPr>
          <w:rFonts w:hint="eastAsia" w:ascii="仿宋_GB2312" w:hAnsi="仿宋_GB2312" w:eastAsia="仿宋_GB2312" w:cs="仿宋_GB2312"/>
          <w:color w:val="auto"/>
          <w:sz w:val="34"/>
          <w:szCs w:val="34"/>
          <w:lang w:val="en-US" w:eastAsia="zh-CN"/>
        </w:rPr>
        <w:t>按照《吉林省软环境建设办公室关于加强全省软环境监督员队伍和监测点建设工作的通知》（吉软环境办〔2020〕4号）要求，</w:t>
      </w:r>
      <w:r>
        <w:rPr>
          <w:rFonts w:hint="eastAsia" w:ascii="仿宋_GB2312" w:hAnsi="仿宋_GB2312" w:eastAsia="仿宋_GB2312" w:cs="仿宋_GB2312"/>
          <w:color w:val="auto"/>
          <w:sz w:val="34"/>
          <w:szCs w:val="34"/>
        </w:rPr>
        <w:t>经</w:t>
      </w:r>
      <w:r>
        <w:rPr>
          <w:rFonts w:hint="eastAsia" w:ascii="仿宋_GB2312" w:hAnsi="仿宋_GB2312" w:eastAsia="仿宋_GB2312" w:cs="仿宋_GB2312"/>
          <w:color w:val="auto"/>
          <w:sz w:val="34"/>
          <w:szCs w:val="34"/>
          <w:lang w:eastAsia="zh-CN"/>
        </w:rPr>
        <w:t>市软环境建设办公室</w:t>
      </w:r>
      <w:r>
        <w:rPr>
          <w:rFonts w:hint="eastAsia" w:ascii="仿宋_GB2312" w:hAnsi="仿宋_GB2312" w:eastAsia="仿宋_GB2312" w:cs="仿宋_GB2312"/>
          <w:color w:val="auto"/>
          <w:sz w:val="34"/>
          <w:szCs w:val="34"/>
        </w:rPr>
        <w:t>研究决定</w:t>
      </w:r>
      <w:r>
        <w:rPr>
          <w:rFonts w:hint="eastAsia" w:ascii="仿宋_GB2312" w:hAnsi="仿宋_GB2312" w:eastAsia="仿宋_GB2312" w:cs="仿宋_GB2312"/>
          <w:color w:val="auto"/>
          <w:sz w:val="34"/>
          <w:szCs w:val="34"/>
          <w:lang w:eastAsia="zh-CN"/>
        </w:rPr>
        <w:t>，现</w:t>
      </w:r>
      <w:r>
        <w:rPr>
          <w:rFonts w:hint="eastAsia" w:ascii="仿宋_GB2312" w:hAnsi="仿宋_GB2312" w:eastAsia="仿宋_GB2312" w:cs="仿宋_GB2312"/>
          <w:color w:val="auto"/>
          <w:sz w:val="34"/>
          <w:szCs w:val="34"/>
        </w:rPr>
        <w:t>面向</w:t>
      </w:r>
      <w:r>
        <w:rPr>
          <w:rFonts w:hint="eastAsia" w:ascii="仿宋_GB2312" w:hAnsi="仿宋_GB2312" w:eastAsia="仿宋_GB2312" w:cs="仿宋_GB2312"/>
          <w:color w:val="auto"/>
          <w:sz w:val="34"/>
          <w:szCs w:val="34"/>
          <w:lang w:eastAsia="zh-CN"/>
        </w:rPr>
        <w:t>全市公开招募</w:t>
      </w:r>
      <w:r>
        <w:rPr>
          <w:rFonts w:hint="eastAsia" w:ascii="仿宋_GB2312" w:hAnsi="仿宋_GB2312" w:eastAsia="仿宋_GB2312" w:cs="仿宋_GB2312"/>
          <w:color w:val="auto"/>
          <w:sz w:val="34"/>
          <w:szCs w:val="34"/>
        </w:rPr>
        <w:t>软环境监督员</w:t>
      </w:r>
      <w:r>
        <w:rPr>
          <w:rFonts w:hint="eastAsia" w:ascii="仿宋_GB2312" w:hAnsi="仿宋_GB2312" w:eastAsia="仿宋_GB2312" w:cs="仿宋_GB2312"/>
          <w:color w:val="auto"/>
          <w:sz w:val="34"/>
          <w:szCs w:val="34"/>
          <w:lang w:eastAsia="zh-CN"/>
        </w:rPr>
        <w:t>、</w:t>
      </w:r>
      <w:r>
        <w:rPr>
          <w:rFonts w:hint="eastAsia" w:ascii="仿宋_GB2312" w:hAnsi="仿宋_GB2312" w:eastAsia="仿宋_GB2312" w:cs="仿宋_GB2312"/>
          <w:color w:val="auto"/>
          <w:sz w:val="34"/>
          <w:szCs w:val="34"/>
        </w:rPr>
        <w:t>软环境监测点</w:t>
      </w:r>
      <w:r>
        <w:rPr>
          <w:rFonts w:hint="eastAsia" w:ascii="仿宋_GB2312" w:hAnsi="仿宋_GB2312" w:eastAsia="仿宋_GB2312" w:cs="仿宋_GB2312"/>
          <w:color w:val="auto"/>
          <w:sz w:val="34"/>
          <w:szCs w:val="34"/>
          <w:lang w:eastAsia="zh-CN"/>
        </w:rPr>
        <w:t>。</w:t>
      </w:r>
      <w:r>
        <w:rPr>
          <w:rFonts w:hint="eastAsia" w:ascii="仿宋_GB2312" w:hAnsi="仿宋_GB2312" w:eastAsia="仿宋_GB2312" w:cs="仿宋_GB2312"/>
          <w:color w:val="auto"/>
          <w:sz w:val="34"/>
          <w:szCs w:val="34"/>
        </w:rPr>
        <w:t>现将有关事项公告如下：</w:t>
      </w:r>
    </w:p>
    <w:p>
      <w:pPr>
        <w:keepNext w:val="0"/>
        <w:keepLines w:val="0"/>
        <w:pageBreakBefore w:val="0"/>
        <w:widowControl w:val="0"/>
        <w:numPr>
          <w:ilvl w:val="0"/>
          <w:numId w:val="0"/>
        </w:numPr>
        <w:tabs>
          <w:tab w:val="left" w:pos="283"/>
        </w:tabs>
        <w:kinsoku/>
        <w:wordWrap/>
        <w:overflowPunct/>
        <w:topLinePunct w:val="0"/>
        <w:autoSpaceDE/>
        <w:autoSpaceDN/>
        <w:bidi w:val="0"/>
        <w:adjustRightInd/>
        <w:snapToGrid/>
        <w:spacing w:line="576" w:lineRule="exact"/>
        <w:ind w:firstLine="680" w:firstLineChars="200"/>
        <w:textAlignment w:val="auto"/>
        <w:rPr>
          <w:rFonts w:hint="eastAsia" w:ascii="黑体" w:hAnsi="黑体" w:eastAsia="黑体" w:cs="黑体"/>
          <w:color w:val="auto"/>
          <w:sz w:val="34"/>
          <w:szCs w:val="34"/>
          <w:lang w:val="en-US" w:eastAsia="zh-CN"/>
        </w:rPr>
      </w:pPr>
      <w:r>
        <w:rPr>
          <w:rFonts w:hint="eastAsia" w:ascii="黑体" w:hAnsi="黑体" w:eastAsia="黑体" w:cs="黑体"/>
          <w:color w:val="auto"/>
          <w:sz w:val="34"/>
          <w:szCs w:val="34"/>
          <w:lang w:val="en-US" w:eastAsia="zh-CN"/>
        </w:rPr>
        <w:t>一、报名条件</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楷体" w:hAnsi="楷体" w:eastAsia="楷体" w:cs="楷体"/>
          <w:color w:val="auto"/>
          <w:sz w:val="34"/>
          <w:szCs w:val="34"/>
        </w:rPr>
      </w:pPr>
      <w:r>
        <w:rPr>
          <w:rFonts w:hint="eastAsia" w:ascii="楷体" w:hAnsi="楷体" w:eastAsia="楷体" w:cs="楷体"/>
          <w:color w:val="auto"/>
          <w:sz w:val="34"/>
          <w:szCs w:val="34"/>
        </w:rPr>
        <w:t>（一）</w:t>
      </w:r>
      <w:r>
        <w:rPr>
          <w:rFonts w:hint="eastAsia" w:ascii="楷体" w:hAnsi="楷体" w:eastAsia="楷体" w:cs="楷体"/>
          <w:color w:val="auto"/>
          <w:sz w:val="34"/>
          <w:szCs w:val="34"/>
          <w:lang w:eastAsia="zh-CN"/>
        </w:rPr>
        <w:t>监督员报名</w:t>
      </w:r>
      <w:r>
        <w:rPr>
          <w:rFonts w:hint="eastAsia" w:ascii="楷体" w:hAnsi="楷体" w:eastAsia="楷体" w:cs="楷体"/>
          <w:color w:val="auto"/>
          <w:sz w:val="34"/>
          <w:szCs w:val="34"/>
        </w:rPr>
        <w:t>条件</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1.关心蛟河经济发展软环境建设，志愿参加软环境监督工作。</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2.为人正直、诚实守信、是非分明、遵纪守法。</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3.熟悉了解社会管理、经济运行相关的政策法规和软环境建设制度要求，愿意和敢于监督，主动提出意见建议。</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楷体" w:hAnsi="楷体" w:eastAsia="楷体" w:cs="楷体"/>
          <w:color w:val="auto"/>
          <w:sz w:val="34"/>
          <w:szCs w:val="34"/>
        </w:rPr>
      </w:pPr>
      <w:r>
        <w:rPr>
          <w:rFonts w:hint="eastAsia" w:ascii="楷体" w:hAnsi="楷体" w:eastAsia="楷体" w:cs="楷体"/>
          <w:color w:val="auto"/>
          <w:sz w:val="34"/>
          <w:szCs w:val="34"/>
        </w:rPr>
        <w:t>（</w:t>
      </w:r>
      <w:r>
        <w:rPr>
          <w:rFonts w:hint="eastAsia" w:ascii="楷体" w:hAnsi="楷体" w:eastAsia="楷体" w:cs="楷体"/>
          <w:color w:val="auto"/>
          <w:sz w:val="34"/>
          <w:szCs w:val="34"/>
          <w:lang w:eastAsia="zh-CN"/>
        </w:rPr>
        <w:t>二</w:t>
      </w:r>
      <w:r>
        <w:rPr>
          <w:rFonts w:hint="eastAsia" w:ascii="楷体" w:hAnsi="楷体" w:eastAsia="楷体" w:cs="楷体"/>
          <w:color w:val="auto"/>
          <w:sz w:val="34"/>
          <w:szCs w:val="34"/>
        </w:rPr>
        <w:t>）监测点</w:t>
      </w:r>
      <w:r>
        <w:rPr>
          <w:rFonts w:hint="eastAsia" w:ascii="楷体" w:hAnsi="楷体" w:eastAsia="楷体" w:cs="楷体"/>
          <w:color w:val="auto"/>
          <w:sz w:val="34"/>
          <w:szCs w:val="34"/>
          <w:lang w:eastAsia="zh-CN"/>
        </w:rPr>
        <w:t>报名</w:t>
      </w:r>
      <w:r>
        <w:rPr>
          <w:rFonts w:hint="eastAsia" w:ascii="楷体" w:hAnsi="楷体" w:eastAsia="楷体" w:cs="楷体"/>
          <w:color w:val="auto"/>
          <w:sz w:val="34"/>
          <w:szCs w:val="34"/>
        </w:rPr>
        <w:t>条件</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rPr>
      </w:pPr>
      <w:r>
        <w:rPr>
          <w:rFonts w:hint="eastAsia" w:ascii="仿宋_GB2312" w:hAnsi="仿宋_GB2312" w:eastAsia="仿宋_GB2312" w:cs="仿宋_GB2312"/>
          <w:color w:val="auto"/>
          <w:sz w:val="34"/>
          <w:szCs w:val="34"/>
          <w:lang w:val="en-US" w:eastAsia="zh-CN"/>
        </w:rPr>
        <w:t>1.</w:t>
      </w:r>
      <w:r>
        <w:rPr>
          <w:rFonts w:hint="eastAsia" w:ascii="仿宋_GB2312" w:hAnsi="仿宋_GB2312" w:eastAsia="仿宋_GB2312" w:cs="仿宋_GB2312"/>
          <w:color w:val="auto"/>
          <w:sz w:val="34"/>
          <w:szCs w:val="34"/>
        </w:rPr>
        <w:t>企业</w:t>
      </w:r>
      <w:r>
        <w:rPr>
          <w:rFonts w:hint="eastAsia" w:ascii="仿宋_GB2312" w:hAnsi="仿宋_GB2312" w:eastAsia="仿宋_GB2312" w:cs="仿宋_GB2312"/>
          <w:color w:val="auto"/>
          <w:sz w:val="34"/>
          <w:szCs w:val="34"/>
          <w:lang w:eastAsia="zh-CN"/>
        </w:rPr>
        <w:t>（个体工商户）</w:t>
      </w:r>
      <w:r>
        <w:rPr>
          <w:rFonts w:hint="eastAsia" w:ascii="仿宋_GB2312" w:hAnsi="仿宋_GB2312" w:eastAsia="仿宋_GB2312" w:cs="仿宋_GB2312"/>
          <w:color w:val="auto"/>
          <w:sz w:val="34"/>
          <w:szCs w:val="34"/>
        </w:rPr>
        <w:t>的社会诚信度高、生产经营状况好、持续发展潜力大。</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黑体" w:hAnsi="黑体" w:eastAsia="黑体" w:cs="黑体"/>
          <w:color w:val="auto"/>
          <w:sz w:val="34"/>
          <w:szCs w:val="34"/>
          <w:lang w:val="en-US" w:eastAsia="zh-CN"/>
        </w:rPr>
      </w:pPr>
      <w:r>
        <w:rPr>
          <w:rFonts w:hint="eastAsia" w:ascii="仿宋_GB2312" w:hAnsi="仿宋_GB2312" w:eastAsia="仿宋_GB2312" w:cs="仿宋_GB2312"/>
          <w:color w:val="auto"/>
          <w:sz w:val="34"/>
          <w:szCs w:val="34"/>
          <w:lang w:val="en-US" w:eastAsia="zh-CN"/>
        </w:rPr>
        <w:t>2.</w:t>
      </w:r>
      <w:r>
        <w:rPr>
          <w:rFonts w:hint="eastAsia" w:ascii="仿宋_GB2312" w:hAnsi="仿宋_GB2312" w:eastAsia="仿宋_GB2312" w:cs="仿宋_GB2312"/>
          <w:color w:val="auto"/>
          <w:sz w:val="34"/>
          <w:szCs w:val="34"/>
        </w:rPr>
        <w:t>合法经营，诚实守信，无不良记录。</w:t>
      </w:r>
    </w:p>
    <w:p>
      <w:pPr>
        <w:keepNext w:val="0"/>
        <w:keepLines w:val="0"/>
        <w:pageBreakBefore w:val="0"/>
        <w:widowControl w:val="0"/>
        <w:numPr>
          <w:ilvl w:val="0"/>
          <w:numId w:val="0"/>
        </w:numPr>
        <w:tabs>
          <w:tab w:val="left" w:pos="283"/>
        </w:tabs>
        <w:kinsoku/>
        <w:wordWrap/>
        <w:overflowPunct/>
        <w:topLinePunct w:val="0"/>
        <w:autoSpaceDE/>
        <w:autoSpaceDN/>
        <w:bidi w:val="0"/>
        <w:adjustRightInd/>
        <w:snapToGrid/>
        <w:spacing w:line="576" w:lineRule="exact"/>
        <w:ind w:firstLine="680" w:firstLineChars="200"/>
        <w:textAlignment w:val="auto"/>
        <w:rPr>
          <w:rFonts w:hint="eastAsia" w:ascii="黑体" w:hAnsi="黑体" w:eastAsia="黑体" w:cs="黑体"/>
          <w:color w:val="auto"/>
          <w:sz w:val="34"/>
          <w:szCs w:val="34"/>
          <w:lang w:val="en-US" w:eastAsia="zh-CN"/>
        </w:rPr>
      </w:pPr>
      <w:r>
        <w:rPr>
          <w:rFonts w:hint="eastAsia" w:ascii="黑体" w:hAnsi="黑体" w:eastAsia="黑体" w:cs="黑体"/>
          <w:color w:val="auto"/>
          <w:sz w:val="34"/>
          <w:szCs w:val="34"/>
          <w:lang w:val="en-US" w:eastAsia="zh-CN"/>
        </w:rPr>
        <w:t>二、招募程序</w:t>
      </w:r>
    </w:p>
    <w:p>
      <w:pPr>
        <w:keepNext w:val="0"/>
        <w:keepLines w:val="0"/>
        <w:pageBreakBefore w:val="0"/>
        <w:widowControl w:val="0"/>
        <w:kinsoku/>
        <w:wordWrap/>
        <w:overflowPunct/>
        <w:topLinePunct w:val="0"/>
        <w:autoSpaceDE/>
        <w:autoSpaceDN/>
        <w:bidi w:val="0"/>
        <w:adjustRightInd/>
        <w:snapToGrid/>
        <w:spacing w:line="576" w:lineRule="exact"/>
        <w:ind w:firstLine="683" w:firstLineChars="200"/>
        <w:textAlignment w:val="auto"/>
        <w:rPr>
          <w:rFonts w:hint="default" w:ascii="仿宋_GB2312" w:hAnsi="仿宋_GB2312" w:eastAsia="仿宋_GB2312" w:cs="仿宋_GB2312"/>
          <w:color w:val="auto"/>
          <w:sz w:val="34"/>
          <w:szCs w:val="34"/>
          <w:lang w:val="en-US" w:eastAsia="zh-CN"/>
        </w:rPr>
      </w:pPr>
      <w:r>
        <w:rPr>
          <w:rFonts w:hint="eastAsia" w:ascii="仿宋_GB2312" w:hAnsi="仿宋_GB2312" w:eastAsia="仿宋_GB2312" w:cs="仿宋_GB2312"/>
          <w:b/>
          <w:bCs/>
          <w:color w:val="auto"/>
          <w:sz w:val="34"/>
          <w:szCs w:val="34"/>
          <w:lang w:val="en-US" w:eastAsia="zh-CN"/>
        </w:rPr>
        <w:t>1.申请报名。</w:t>
      </w:r>
      <w:r>
        <w:rPr>
          <w:rFonts w:hint="eastAsia" w:ascii="仿宋_GB2312" w:hAnsi="仿宋_GB2312" w:eastAsia="仿宋_GB2312" w:cs="仿宋_GB2312"/>
          <w:color w:val="auto"/>
          <w:sz w:val="34"/>
          <w:szCs w:val="34"/>
          <w:lang w:val="en-US" w:eastAsia="zh-CN"/>
        </w:rPr>
        <w:t>申请方式采取书面申请自荐形式，申请软环境监督员填写《蛟河市软环境监督员申请表》（附件1），申请监测点填写《蛟河市软环境监测点申请表》（附件2）。企业（个体工商户）可同时申请软环境监督员和软环境监测点。申请人（单位）请将申请表发送至电子邮箱（rhj67250284@163.com），申请日期截止为7月3日。</w:t>
      </w:r>
    </w:p>
    <w:p>
      <w:pPr>
        <w:keepNext w:val="0"/>
        <w:keepLines w:val="0"/>
        <w:pageBreakBefore w:val="0"/>
        <w:widowControl w:val="0"/>
        <w:kinsoku/>
        <w:wordWrap/>
        <w:overflowPunct/>
        <w:topLinePunct w:val="0"/>
        <w:autoSpaceDE/>
        <w:autoSpaceDN/>
        <w:bidi w:val="0"/>
        <w:adjustRightInd/>
        <w:snapToGrid/>
        <w:spacing w:line="576" w:lineRule="exact"/>
        <w:ind w:firstLine="683"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b/>
          <w:bCs/>
          <w:color w:val="auto"/>
          <w:sz w:val="34"/>
          <w:szCs w:val="34"/>
          <w:lang w:val="en-US" w:eastAsia="zh-CN"/>
        </w:rPr>
        <w:t>2.考察审核。</w:t>
      </w:r>
      <w:r>
        <w:rPr>
          <w:rFonts w:hint="eastAsia" w:ascii="仿宋_GB2312" w:hAnsi="仿宋_GB2312" w:eastAsia="仿宋_GB2312" w:cs="仿宋_GB2312"/>
          <w:color w:val="auto"/>
          <w:sz w:val="34"/>
          <w:szCs w:val="34"/>
          <w:lang w:val="en-US" w:eastAsia="zh-CN"/>
        </w:rPr>
        <w:t>市软环境办将组织人员通过咨询、谈话了解等方式进行审查，经研究决定招募人员和单位名单将在蛟河市人民政府网站进行公示。</w:t>
      </w:r>
    </w:p>
    <w:p>
      <w:pPr>
        <w:keepNext w:val="0"/>
        <w:keepLines w:val="0"/>
        <w:pageBreakBefore w:val="0"/>
        <w:widowControl w:val="0"/>
        <w:kinsoku/>
        <w:wordWrap/>
        <w:overflowPunct/>
        <w:topLinePunct w:val="0"/>
        <w:autoSpaceDE/>
        <w:autoSpaceDN/>
        <w:bidi w:val="0"/>
        <w:adjustRightInd/>
        <w:snapToGrid/>
        <w:spacing w:line="576" w:lineRule="exact"/>
        <w:ind w:firstLine="683"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b/>
          <w:bCs/>
          <w:color w:val="auto"/>
          <w:sz w:val="34"/>
          <w:szCs w:val="34"/>
          <w:lang w:val="en-US" w:eastAsia="zh-CN"/>
        </w:rPr>
        <w:t>3.聘任管理。</w:t>
      </w:r>
      <w:r>
        <w:rPr>
          <w:rFonts w:hint="eastAsia" w:ascii="仿宋_GB2312" w:hAnsi="仿宋_GB2312" w:eastAsia="仿宋_GB2312" w:cs="仿宋_GB2312"/>
          <w:color w:val="auto"/>
          <w:sz w:val="34"/>
          <w:szCs w:val="34"/>
          <w:lang w:val="en-US" w:eastAsia="zh-CN"/>
        </w:rPr>
        <w:t>监督员聘任后，由省软环境办统一备案，统一核发吉林省软环境监督员（电子）证。监测点由市软环境办统一发放软环境监测点牌匾。监督员、监测点聘期均为两年，到期后视具体情况进行续聘。</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黑体" w:hAnsi="黑体" w:eastAsia="黑体" w:cs="黑体"/>
          <w:color w:val="auto"/>
          <w:sz w:val="34"/>
          <w:szCs w:val="34"/>
          <w:lang w:val="en-US" w:eastAsia="zh-CN"/>
        </w:rPr>
      </w:pPr>
      <w:r>
        <w:rPr>
          <w:rFonts w:hint="eastAsia" w:ascii="黑体" w:hAnsi="黑体" w:eastAsia="黑体" w:cs="黑体"/>
          <w:color w:val="auto"/>
          <w:sz w:val="34"/>
          <w:szCs w:val="34"/>
          <w:lang w:val="en-US" w:eastAsia="zh-CN"/>
        </w:rPr>
        <w:t>三、工作职责</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楷体" w:hAnsi="楷体" w:eastAsia="楷体" w:cs="楷体"/>
          <w:color w:val="auto"/>
          <w:sz w:val="34"/>
          <w:szCs w:val="34"/>
          <w:lang w:eastAsia="zh-CN"/>
        </w:rPr>
      </w:pPr>
      <w:r>
        <w:rPr>
          <w:rFonts w:hint="eastAsia" w:ascii="楷体" w:hAnsi="楷体" w:eastAsia="楷体" w:cs="楷体"/>
          <w:color w:val="auto"/>
          <w:sz w:val="34"/>
          <w:szCs w:val="34"/>
          <w:lang w:eastAsia="zh-CN"/>
        </w:rPr>
        <w:t>（一）监督员职责</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1.对全市软环境建设相关的各级机关、部门（单位）及其工作人员的服务态度、工作效率、纪律作风、司法执法等行为进行监督和举报。</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2.对各级各部门贯彻落实市委、市政府关于软环境工作部署情况进行监督和举报。</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3.收集、反映企业和群众对软环境工作的意见和建议。</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4.定期提交软环境工作的意见和建议。</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5.积极参加软环境办组织的各项活动。</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rPr>
      </w:pPr>
      <w:r>
        <w:rPr>
          <w:rFonts w:hint="eastAsia" w:ascii="楷体" w:hAnsi="楷体" w:eastAsia="楷体" w:cs="楷体"/>
          <w:color w:val="auto"/>
          <w:sz w:val="34"/>
          <w:szCs w:val="34"/>
          <w:lang w:eastAsia="zh-CN"/>
        </w:rPr>
        <w:t>（二）</w:t>
      </w:r>
      <w:r>
        <w:rPr>
          <w:rFonts w:hint="eastAsia" w:ascii="楷体" w:hAnsi="楷体" w:eastAsia="楷体" w:cs="楷体"/>
          <w:color w:val="auto"/>
          <w:sz w:val="34"/>
          <w:szCs w:val="34"/>
        </w:rPr>
        <w:t>监测点职责</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rPr>
      </w:pPr>
      <w:r>
        <w:rPr>
          <w:rFonts w:hint="eastAsia" w:ascii="仿宋_GB2312" w:hAnsi="仿宋_GB2312" w:eastAsia="仿宋_GB2312" w:cs="仿宋_GB2312"/>
          <w:color w:val="auto"/>
          <w:sz w:val="34"/>
          <w:szCs w:val="34"/>
          <w:lang w:val="en-US" w:eastAsia="zh-CN"/>
        </w:rPr>
        <w:t>1.</w:t>
      </w:r>
      <w:r>
        <w:rPr>
          <w:rFonts w:hint="eastAsia" w:ascii="仿宋_GB2312" w:hAnsi="仿宋_GB2312" w:eastAsia="仿宋_GB2312" w:cs="仿宋_GB2312"/>
          <w:color w:val="auto"/>
          <w:sz w:val="34"/>
          <w:szCs w:val="34"/>
        </w:rPr>
        <w:t>对涉企检查、收费、处罚情况实时监督监测。对发生在监测点的依法、规范、高效的行政行为给予支持，对违反相关规定的行为及时反映。</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rPr>
      </w:pPr>
      <w:r>
        <w:rPr>
          <w:rFonts w:hint="eastAsia" w:ascii="仿宋_GB2312" w:hAnsi="仿宋_GB2312" w:eastAsia="仿宋_GB2312" w:cs="仿宋_GB2312"/>
          <w:color w:val="auto"/>
          <w:sz w:val="34"/>
          <w:szCs w:val="34"/>
          <w:lang w:val="en-US" w:eastAsia="zh-CN"/>
        </w:rPr>
        <w:t>2.</w:t>
      </w:r>
      <w:r>
        <w:rPr>
          <w:rFonts w:hint="eastAsia" w:ascii="仿宋_GB2312" w:hAnsi="仿宋_GB2312" w:eastAsia="仿宋_GB2312" w:cs="仿宋_GB2312"/>
          <w:color w:val="auto"/>
          <w:sz w:val="34"/>
          <w:szCs w:val="34"/>
        </w:rPr>
        <w:t>对重大投资项目注册、立项、落地全过程实时监测。对项目实施过程中审批效率、政策落实、监管执法、税费收缴、纪律作风等情况和问题及时反映。</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rPr>
      </w:pPr>
      <w:r>
        <w:rPr>
          <w:rFonts w:hint="eastAsia" w:ascii="仿宋_GB2312" w:hAnsi="仿宋_GB2312" w:eastAsia="仿宋_GB2312" w:cs="仿宋_GB2312"/>
          <w:color w:val="auto"/>
          <w:sz w:val="34"/>
          <w:szCs w:val="34"/>
          <w:lang w:val="en-US" w:eastAsia="zh-CN"/>
        </w:rPr>
        <w:t>3.</w:t>
      </w:r>
      <w:r>
        <w:rPr>
          <w:rFonts w:hint="eastAsia" w:ascii="仿宋_GB2312" w:hAnsi="仿宋_GB2312" w:eastAsia="仿宋_GB2312" w:cs="仿宋_GB2312"/>
          <w:color w:val="auto"/>
          <w:sz w:val="34"/>
          <w:szCs w:val="34"/>
        </w:rPr>
        <w:t>建立监测台账，如实记录监测情况，如实反映软环境真实状况。采用文字记录、音像实录、网络传输等方式向本级软环境办提供监测信息。</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4.监测点企业需指定2名信息员，具体工作见监测点信息员职责。</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Times New Roman" w:hAnsi="仿宋" w:eastAsia="楷体" w:cs="Times New Roman"/>
          <w:sz w:val="32"/>
          <w:szCs w:val="32"/>
          <w:lang w:eastAsia="zh-CN"/>
        </w:rPr>
      </w:pPr>
      <w:bookmarkStart w:id="0" w:name="_GoBack"/>
      <w:bookmarkEnd w:id="0"/>
      <w:r>
        <w:rPr>
          <w:rFonts w:hint="eastAsia" w:ascii="楷体" w:hAnsi="楷体" w:eastAsia="楷体" w:cs="楷体"/>
          <w:color w:val="auto"/>
          <w:sz w:val="34"/>
          <w:szCs w:val="34"/>
          <w:lang w:eastAsia="zh-CN"/>
        </w:rPr>
        <w:t>（三）</w:t>
      </w:r>
      <w:r>
        <w:rPr>
          <w:rFonts w:hint="eastAsia" w:ascii="楷体" w:hAnsi="楷体" w:eastAsia="楷体" w:cs="楷体"/>
          <w:color w:val="auto"/>
          <w:sz w:val="34"/>
          <w:szCs w:val="34"/>
        </w:rPr>
        <w:t>监测点</w:t>
      </w:r>
      <w:r>
        <w:rPr>
          <w:rFonts w:hint="eastAsia" w:ascii="楷体" w:hAnsi="楷体" w:eastAsia="楷体" w:cs="楷体"/>
          <w:color w:val="auto"/>
          <w:sz w:val="34"/>
          <w:szCs w:val="34"/>
          <w:lang w:eastAsia="zh-CN"/>
        </w:rPr>
        <w:t>信息员职责</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1.对所在企业所遇检查、收费（税）、处罚等情况实时监测、及时上报，并留存文书资料。</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2.对所在企业所有行政审批情况实时监测、及时上报，并留存文书资料。</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3.对所在企业相关的利好政策落实情况进行监测监督，适时反映经营发展中遇到的困难问题。</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4.对所在企业重大投资项目所涉所有审批、检查、收费、验收、处罚等各种文件、资料、单据的复印件，按时间先后顺序装订成册，绘制项目流程图。</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5.建立监测台账，将上述各种情况及意见建议记录在案，全面真实反映监测点软环境状况。</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附件：1.蛟河市软环境监督员申请表</w:t>
      </w:r>
    </w:p>
    <w:p>
      <w:pPr>
        <w:keepNext w:val="0"/>
        <w:keepLines w:val="0"/>
        <w:pageBreakBefore w:val="0"/>
        <w:widowControl w:val="0"/>
        <w:kinsoku/>
        <w:wordWrap/>
        <w:overflowPunct/>
        <w:topLinePunct w:val="0"/>
        <w:autoSpaceDE/>
        <w:autoSpaceDN/>
        <w:bidi w:val="0"/>
        <w:adjustRightInd/>
        <w:snapToGrid/>
        <w:spacing w:line="576" w:lineRule="exact"/>
        <w:ind w:firstLine="680" w:firstLineChars="200"/>
        <w:textAlignment w:val="auto"/>
        <w:rPr>
          <w:rFonts w:hint="default"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 xml:space="preserve">      2.蛟河市软环境监测点申请表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auto"/>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4080" w:firstLineChars="1200"/>
        <w:textAlignment w:val="auto"/>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蛟河市软环境建设办公室</w:t>
      </w:r>
    </w:p>
    <w:p>
      <w:pPr>
        <w:keepNext w:val="0"/>
        <w:keepLines w:val="0"/>
        <w:pageBreakBefore w:val="0"/>
        <w:widowControl w:val="0"/>
        <w:kinsoku/>
        <w:wordWrap/>
        <w:overflowPunct/>
        <w:topLinePunct w:val="0"/>
        <w:autoSpaceDE/>
        <w:autoSpaceDN/>
        <w:bidi w:val="0"/>
        <w:adjustRightInd/>
        <w:snapToGrid/>
        <w:spacing w:line="576" w:lineRule="exact"/>
        <w:ind w:firstLine="4420" w:firstLineChars="1300"/>
        <w:textAlignment w:val="auto"/>
        <w:rPr>
          <w:rFonts w:hint="default"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2020年6月28日</w:t>
      </w:r>
    </w:p>
    <w:p>
      <w:pPr>
        <w:rPr>
          <w:rFonts w:hint="eastAsia" w:ascii="仿宋_GB2312" w:hAnsi="仿宋_GB2312" w:eastAsia="仿宋_GB2312" w:cs="仿宋_GB2312"/>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D27637"/>
    <w:rsid w:val="00383C86"/>
    <w:rsid w:val="009C7C63"/>
    <w:rsid w:val="04C6299E"/>
    <w:rsid w:val="061E192D"/>
    <w:rsid w:val="064E3477"/>
    <w:rsid w:val="07DF5722"/>
    <w:rsid w:val="0AFF1E44"/>
    <w:rsid w:val="0D417BF8"/>
    <w:rsid w:val="0E174324"/>
    <w:rsid w:val="0E1D639E"/>
    <w:rsid w:val="0E5D7A95"/>
    <w:rsid w:val="0F1F46C8"/>
    <w:rsid w:val="12D62679"/>
    <w:rsid w:val="13506405"/>
    <w:rsid w:val="162F5DEF"/>
    <w:rsid w:val="1A905E2A"/>
    <w:rsid w:val="1AE8271F"/>
    <w:rsid w:val="1B862D86"/>
    <w:rsid w:val="1C3B20EE"/>
    <w:rsid w:val="20237FBB"/>
    <w:rsid w:val="22325C42"/>
    <w:rsid w:val="24562A72"/>
    <w:rsid w:val="24D61C71"/>
    <w:rsid w:val="2558655C"/>
    <w:rsid w:val="25925ACD"/>
    <w:rsid w:val="29316238"/>
    <w:rsid w:val="29EA7F90"/>
    <w:rsid w:val="2ABA1EF8"/>
    <w:rsid w:val="2CBA0746"/>
    <w:rsid w:val="2E943485"/>
    <w:rsid w:val="2FB449D2"/>
    <w:rsid w:val="31D27637"/>
    <w:rsid w:val="32A84893"/>
    <w:rsid w:val="33F42FEC"/>
    <w:rsid w:val="340633E4"/>
    <w:rsid w:val="34C96308"/>
    <w:rsid w:val="37A86358"/>
    <w:rsid w:val="398D3232"/>
    <w:rsid w:val="3A13204C"/>
    <w:rsid w:val="3B2F760E"/>
    <w:rsid w:val="3E5C116A"/>
    <w:rsid w:val="42BA2A05"/>
    <w:rsid w:val="44173AEC"/>
    <w:rsid w:val="48303F2B"/>
    <w:rsid w:val="4F692247"/>
    <w:rsid w:val="52A13F37"/>
    <w:rsid w:val="52F33489"/>
    <w:rsid w:val="53D706DC"/>
    <w:rsid w:val="557C3052"/>
    <w:rsid w:val="55BD249B"/>
    <w:rsid w:val="59244AAD"/>
    <w:rsid w:val="5BCB0B89"/>
    <w:rsid w:val="5C3A2926"/>
    <w:rsid w:val="5E9C370D"/>
    <w:rsid w:val="5F596FC2"/>
    <w:rsid w:val="615E2F5F"/>
    <w:rsid w:val="639D2E99"/>
    <w:rsid w:val="65E66675"/>
    <w:rsid w:val="65EF3E32"/>
    <w:rsid w:val="6B3368CC"/>
    <w:rsid w:val="6E8F3E76"/>
    <w:rsid w:val="6EB429CA"/>
    <w:rsid w:val="720E3773"/>
    <w:rsid w:val="738B58BA"/>
    <w:rsid w:val="77197719"/>
    <w:rsid w:val="79695881"/>
    <w:rsid w:val="7AAC74EE"/>
    <w:rsid w:val="7EDA1F8A"/>
    <w:rsid w:val="7F193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2020-06-22T02:38:00Z</dcterms:created>
  <dc:creator>Administrator</dc:creator>
  <cp:lastModifiedBy>Olek</cp:lastModifiedBy>
  <cp:lastPrinted>2020-06-28T02:48:13Z</cp:lastPrinted>
  <dcterms:modified xsi:type="dcterms:W3CDTF">2020-06-28T02:53:59Z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